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C6F4" w14:textId="4DE37E34" w:rsidR="004A73A5" w:rsidRDefault="00621DF0" w:rsidP="002F65B6">
      <w:pPr>
        <w:pStyle w:val="Title"/>
        <w:ind w:right="662"/>
        <w:rPr>
          <w:rFonts w:ascii="Open Sans Condensed" w:hAnsi="Open Sans Condensed" w:cs="Open Sans Condensed" w:hint="eastAsia"/>
          <w:caps w:val="0"/>
          <w:color w:val="002060"/>
          <w:sz w:val="56"/>
          <w:szCs w:val="56"/>
        </w:rPr>
      </w:pPr>
      <w:r>
        <w:rPr>
          <w:rFonts w:ascii="Open Sans Condensed" w:hAnsi="Open Sans Condensed" w:cs="Open Sans Condensed"/>
          <w:caps w:val="0"/>
          <w:color w:val="002060"/>
          <w:sz w:val="56"/>
          <w:szCs w:val="56"/>
        </w:rPr>
        <w:t>Impacts of the Proposed Industrial R</w:t>
      </w:r>
      <w:r w:rsidR="00AF13B7">
        <w:rPr>
          <w:rFonts w:ascii="Open Sans Condensed" w:hAnsi="Open Sans Condensed" w:cs="Open Sans Condensed"/>
          <w:caps w:val="0"/>
          <w:color w:val="002060"/>
          <w:sz w:val="56"/>
          <w:szCs w:val="56"/>
        </w:rPr>
        <w:t>elations Legislation</w:t>
      </w:r>
      <w:r w:rsidR="00366DF8" w:rsidRPr="00682DA0">
        <w:rPr>
          <w:rFonts w:ascii="Open Sans Condensed" w:hAnsi="Open Sans Condensed" w:cs="Open Sans Condensed"/>
          <w:caps w:val="0"/>
          <w:color w:val="002060"/>
          <w:sz w:val="56"/>
          <w:szCs w:val="56"/>
        </w:rPr>
        <w:t xml:space="preserve"> </w:t>
      </w:r>
      <w:r w:rsidR="00795F00">
        <w:rPr>
          <w:rFonts w:ascii="Open Sans Condensed" w:hAnsi="Open Sans Condensed" w:cs="Open Sans Condensed"/>
          <w:caps w:val="0"/>
          <w:color w:val="002060"/>
          <w:sz w:val="56"/>
          <w:szCs w:val="56"/>
        </w:rPr>
        <w:t>— Rapid-fire</w:t>
      </w:r>
      <w:r w:rsidR="00366DF8" w:rsidRPr="00682DA0">
        <w:rPr>
          <w:rFonts w:ascii="Open Sans Condensed" w:hAnsi="Open Sans Condensed" w:cs="Open Sans Condensed"/>
          <w:caps w:val="0"/>
          <w:color w:val="002060"/>
          <w:sz w:val="56"/>
          <w:szCs w:val="56"/>
        </w:rPr>
        <w:t xml:space="preserve"> Survey</w:t>
      </w:r>
      <w:r w:rsidR="00122073">
        <w:rPr>
          <w:rFonts w:ascii="Open Sans Condensed" w:hAnsi="Open Sans Condensed" w:cs="Open Sans Condensed"/>
          <w:caps w:val="0"/>
          <w:color w:val="002060"/>
          <w:sz w:val="56"/>
          <w:szCs w:val="56"/>
        </w:rPr>
        <w:t xml:space="preserve"> </w:t>
      </w:r>
    </w:p>
    <w:p w14:paraId="0C62A644" w14:textId="1849FE2D" w:rsidR="00682DA0" w:rsidRDefault="00122073" w:rsidP="002F65B6">
      <w:pPr>
        <w:pStyle w:val="Title"/>
        <w:ind w:right="662"/>
        <w:rPr>
          <w:rFonts w:ascii="Open Sans Condensed" w:hAnsi="Open Sans Condensed" w:cs="Open Sans Condensed" w:hint="eastAsia"/>
          <w:caps w:val="0"/>
          <w:color w:val="002060"/>
          <w:sz w:val="56"/>
          <w:szCs w:val="56"/>
        </w:rPr>
      </w:pPr>
      <w:r w:rsidRPr="00525BC2">
        <w:rPr>
          <w:rStyle w:val="Heading4Char"/>
          <w:color w:val="11274B" w:themeColor="text1"/>
          <w:sz w:val="32"/>
          <w:szCs w:val="32"/>
        </w:rPr>
        <w:t>Snapshot</w:t>
      </w:r>
      <w:r w:rsidR="005B40B3">
        <w:rPr>
          <w:rStyle w:val="Heading4Char"/>
          <w:color w:val="11274B" w:themeColor="text1"/>
          <w:sz w:val="32"/>
          <w:szCs w:val="32"/>
        </w:rPr>
        <w:t xml:space="preserve"> – </w:t>
      </w:r>
      <w:r w:rsidR="00AF13B7">
        <w:rPr>
          <w:rStyle w:val="Heading4Char"/>
          <w:color w:val="11274B" w:themeColor="text1"/>
          <w:sz w:val="32"/>
          <w:szCs w:val="32"/>
        </w:rPr>
        <w:t>November 2022</w:t>
      </w:r>
    </w:p>
    <w:p w14:paraId="0C2E6B6F" w14:textId="77777777" w:rsidR="002F65B6" w:rsidRDefault="002F65B6" w:rsidP="002F65B6">
      <w:pPr>
        <w:pStyle w:val="Heading3"/>
        <w:rPr>
          <w:rFonts w:hint="eastAsia"/>
        </w:rPr>
      </w:pPr>
    </w:p>
    <w:p w14:paraId="4C38AD75" w14:textId="3563447C" w:rsidR="002F65B6" w:rsidRDefault="002F65B6" w:rsidP="002F65B6"/>
    <w:p w14:paraId="4B362422" w14:textId="768E7E05" w:rsidR="00FB4BF7" w:rsidRDefault="00D83A14" w:rsidP="00FB4BF7">
      <w:r>
        <w:t xml:space="preserve">The Federal Government’s new industrial relations legislation </w:t>
      </w:r>
      <w:r>
        <w:rPr>
          <w:lang w:val="en-US"/>
        </w:rPr>
        <w:t>shifts the nature of workplace regulation</w:t>
      </w:r>
      <w:r>
        <w:t xml:space="preserve">. </w:t>
      </w:r>
      <w:r w:rsidR="00FB4BF7">
        <w:t xml:space="preserve">To </w:t>
      </w:r>
      <w:r w:rsidR="00761E2C">
        <w:t>identify</w:t>
      </w:r>
      <w:r w:rsidR="00FB4BF7">
        <w:t xml:space="preserve"> the impacts of </w:t>
      </w:r>
      <w:r w:rsidR="00525BC2">
        <w:t xml:space="preserve">the </w:t>
      </w:r>
      <w:r w:rsidR="00237036">
        <w:t>proposed change</w:t>
      </w:r>
      <w:r>
        <w:t>s on WA businesses,</w:t>
      </w:r>
      <w:r w:rsidR="00FB4BF7">
        <w:t xml:space="preserve"> the Chamber of </w:t>
      </w:r>
      <w:proofErr w:type="gramStart"/>
      <w:r w:rsidR="00FB4BF7">
        <w:t>Commerce</w:t>
      </w:r>
      <w:proofErr w:type="gramEnd"/>
      <w:r w:rsidR="00FB4BF7">
        <w:t xml:space="preserve"> and Industry WA (CCIWA) </w:t>
      </w:r>
      <w:r w:rsidR="00525BC2">
        <w:t>has developed</w:t>
      </w:r>
      <w:r w:rsidR="00FB4BF7">
        <w:t xml:space="preserve"> </w:t>
      </w:r>
      <w:r w:rsidR="00525BC2">
        <w:t xml:space="preserve">a rapid-fire survey of </w:t>
      </w:r>
      <w:r w:rsidR="00FB4BF7">
        <w:t xml:space="preserve">the WA business community. </w:t>
      </w:r>
      <w:r w:rsidR="00286D19">
        <w:t xml:space="preserve">The survey opened </w:t>
      </w:r>
      <w:r w:rsidR="002725A6">
        <w:t xml:space="preserve">on </w:t>
      </w:r>
      <w:r>
        <w:t>Friday</w:t>
      </w:r>
      <w:r w:rsidR="00227016">
        <w:t>,</w:t>
      </w:r>
      <w:r w:rsidR="002A78A1">
        <w:t xml:space="preserve"> November</w:t>
      </w:r>
      <w:r w:rsidR="00C46823">
        <w:t xml:space="preserve"> </w:t>
      </w:r>
      <w:r w:rsidR="00227016">
        <w:t xml:space="preserve">11 </w:t>
      </w:r>
      <w:r w:rsidR="00C46823">
        <w:t xml:space="preserve">and </w:t>
      </w:r>
      <w:r w:rsidR="00115BF3">
        <w:t xml:space="preserve">in </w:t>
      </w:r>
      <w:r w:rsidR="008B11CF">
        <w:t>quick time</w:t>
      </w:r>
      <w:r w:rsidR="00C46823">
        <w:t xml:space="preserve"> </w:t>
      </w:r>
      <w:r w:rsidR="00F75054">
        <w:t>recorded</w:t>
      </w:r>
      <w:r w:rsidR="00C46823">
        <w:t xml:space="preserve"> </w:t>
      </w:r>
      <w:r w:rsidR="00C378E7" w:rsidRPr="00152693">
        <w:t>326</w:t>
      </w:r>
      <w:r w:rsidR="00FB4BF7">
        <w:t xml:space="preserve"> </w:t>
      </w:r>
      <w:r w:rsidR="00C46823">
        <w:t>responses</w:t>
      </w:r>
      <w:r w:rsidR="00FB4BF7">
        <w:t xml:space="preserve">. </w:t>
      </w:r>
    </w:p>
    <w:p w14:paraId="2A1A4FAA" w14:textId="0A6D3793" w:rsidR="000A2E08" w:rsidRDefault="000A2E08" w:rsidP="00FB4BF7">
      <w:r>
        <w:t xml:space="preserve">In this document, we take a deep dive into the attitudes of businesses towards </w:t>
      </w:r>
      <w:r w:rsidR="00551CFA">
        <w:t xml:space="preserve">key components of the proposed industrial relations legislation. </w:t>
      </w:r>
    </w:p>
    <w:p w14:paraId="4E04C6D2" w14:textId="4C51948A" w:rsidR="00DC7628" w:rsidRDefault="00525BC2" w:rsidP="002F65B6">
      <w:r w:rsidRPr="0074639C">
        <w:t>For all questions, results are available at the industry level</w:t>
      </w:r>
      <w:r w:rsidR="002A78A1">
        <w:t xml:space="preserve"> and </w:t>
      </w:r>
      <w:r w:rsidRPr="0074639C">
        <w:t>by business size</w:t>
      </w:r>
      <w:r w:rsidR="004D7763">
        <w:t>, however not all of these</w:t>
      </w:r>
      <w:r w:rsidR="00C7457B">
        <w:t xml:space="preserve"> results have been</w:t>
      </w:r>
      <w:r w:rsidRPr="0074639C">
        <w:t xml:space="preserve"> included in th</w:t>
      </w:r>
      <w:r w:rsidR="00F05194">
        <w:t>is</w:t>
      </w:r>
      <w:r w:rsidRPr="0074639C">
        <w:t xml:space="preserve"> </w:t>
      </w:r>
      <w:r w:rsidR="00E003A2">
        <w:t>summary document</w:t>
      </w:r>
      <w:r w:rsidR="006227DE">
        <w:t xml:space="preserve">. </w:t>
      </w:r>
    </w:p>
    <w:p w14:paraId="1BBCCD6C" w14:textId="1B1420C5" w:rsidR="00DC7628" w:rsidRDefault="00DC7628" w:rsidP="002F65B6"/>
    <w:p w14:paraId="5DF37D76" w14:textId="6AC08CF8" w:rsidR="008209F2" w:rsidRPr="002D7440" w:rsidRDefault="00D110FF" w:rsidP="002D7440">
      <w:pPr>
        <w:jc w:val="center"/>
        <w:rPr>
          <w:sz w:val="28"/>
          <w:szCs w:val="28"/>
        </w:rPr>
      </w:pPr>
      <w:r w:rsidRPr="002D7440">
        <w:rPr>
          <w:sz w:val="28"/>
          <w:szCs w:val="28"/>
        </w:rPr>
        <w:t>Contents</w:t>
      </w:r>
    </w:p>
    <w:p w14:paraId="77ECFFED" w14:textId="77777777" w:rsidR="00D110FF" w:rsidRPr="00D110FF" w:rsidRDefault="00D110FF" w:rsidP="00D110FF">
      <w:pPr>
        <w:rPr>
          <w:sz w:val="14"/>
          <w:szCs w:val="1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771056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330E67" w14:textId="2EAC7AE8" w:rsidR="00684E90" w:rsidRDefault="00684E90">
          <w:pPr>
            <w:pStyle w:val="TOCHeading"/>
            <w:rPr>
              <w:rFonts w:hint="eastAsia"/>
            </w:rPr>
          </w:pPr>
        </w:p>
        <w:p w14:paraId="33E44D80" w14:textId="4C3F4ED8" w:rsidR="00FB348F" w:rsidRDefault="00684E9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FB348F" w:rsidRPr="009E2459">
            <w:rPr>
              <w:rStyle w:val="Hyperlink"/>
              <w:noProof/>
            </w:rPr>
            <w:fldChar w:fldCharType="begin"/>
          </w:r>
          <w:r w:rsidR="00FB348F" w:rsidRPr="009E2459">
            <w:rPr>
              <w:rStyle w:val="Hyperlink"/>
              <w:noProof/>
            </w:rPr>
            <w:instrText xml:space="preserve"> </w:instrText>
          </w:r>
          <w:r w:rsidR="00FB348F">
            <w:rPr>
              <w:noProof/>
            </w:rPr>
            <w:instrText>HYPERLINK \l "_Toc119730990"</w:instrText>
          </w:r>
          <w:r w:rsidR="00FB348F" w:rsidRPr="009E2459">
            <w:rPr>
              <w:rStyle w:val="Hyperlink"/>
              <w:noProof/>
            </w:rPr>
            <w:instrText xml:space="preserve"> </w:instrText>
          </w:r>
          <w:r w:rsidR="00FB348F" w:rsidRPr="009E2459">
            <w:rPr>
              <w:rStyle w:val="Hyperlink"/>
              <w:noProof/>
            </w:rPr>
          </w:r>
          <w:r w:rsidR="00FB348F" w:rsidRPr="009E2459">
            <w:rPr>
              <w:rStyle w:val="Hyperlink"/>
              <w:noProof/>
            </w:rPr>
            <w:fldChar w:fldCharType="separate"/>
          </w:r>
          <w:r w:rsidR="00FB348F" w:rsidRPr="009E2459">
            <w:rPr>
              <w:rStyle w:val="Hyperlink"/>
              <w:noProof/>
            </w:rPr>
            <w:t>Headline Results</w:t>
          </w:r>
          <w:r w:rsidR="00FB348F">
            <w:rPr>
              <w:noProof/>
              <w:webHidden/>
            </w:rPr>
            <w:tab/>
          </w:r>
          <w:r w:rsidR="00FB348F">
            <w:rPr>
              <w:noProof/>
              <w:webHidden/>
            </w:rPr>
            <w:fldChar w:fldCharType="begin"/>
          </w:r>
          <w:r w:rsidR="00FB348F">
            <w:rPr>
              <w:noProof/>
              <w:webHidden/>
            </w:rPr>
            <w:instrText xml:space="preserve"> PAGEREF _Toc119730990 \h </w:instrText>
          </w:r>
          <w:r w:rsidR="00FB348F">
            <w:rPr>
              <w:noProof/>
              <w:webHidden/>
            </w:rPr>
          </w:r>
          <w:r w:rsidR="00FB348F">
            <w:rPr>
              <w:noProof/>
              <w:webHidden/>
            </w:rPr>
            <w:fldChar w:fldCharType="separate"/>
          </w:r>
          <w:r w:rsidR="00FB348F">
            <w:rPr>
              <w:noProof/>
              <w:webHidden/>
            </w:rPr>
            <w:t>2</w:t>
          </w:r>
          <w:r w:rsidR="00FB348F">
            <w:rPr>
              <w:noProof/>
              <w:webHidden/>
            </w:rPr>
            <w:fldChar w:fldCharType="end"/>
          </w:r>
          <w:r w:rsidR="00FB348F" w:rsidRPr="009E2459">
            <w:rPr>
              <w:rStyle w:val="Hyperlink"/>
              <w:noProof/>
            </w:rPr>
            <w:fldChar w:fldCharType="end"/>
          </w:r>
        </w:p>
        <w:p w14:paraId="587DEA7C" w14:textId="07B8DD47" w:rsidR="00FB348F" w:rsidRDefault="00FB348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19730991" w:history="1">
            <w:r w:rsidRPr="009E2459">
              <w:rPr>
                <w:rStyle w:val="Hyperlink"/>
                <w:noProof/>
              </w:rPr>
              <w:t>Section 1 - Multi-Employer Bargaining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_Toc119730991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97FB8" w14:textId="5AE40AEE" w:rsidR="00FB348F" w:rsidRDefault="00FB348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19730992" w:history="1">
            <w:r w:rsidRPr="009E2459">
              <w:rPr>
                <w:rStyle w:val="Hyperlink"/>
                <w:noProof/>
              </w:rPr>
              <w:t>Section 2 - Compulsory Arbitration of Work Arrangements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_Toc119730992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5AC88" w14:textId="21C7D7CD" w:rsidR="00FB348F" w:rsidRDefault="00FB348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19730993" w:history="1">
            <w:r w:rsidRPr="009E2459">
              <w:rPr>
                <w:rStyle w:val="Hyperlink"/>
                <w:noProof/>
              </w:rPr>
              <w:t>Section 3 - Limiting Fixed Term Contracts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_Toc119730993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8AC75" w14:textId="1ABCDF9C" w:rsidR="00FB348F" w:rsidRDefault="00FB348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19730994" w:history="1">
            <w:r w:rsidRPr="009E2459">
              <w:rPr>
                <w:rStyle w:val="Hyperlink"/>
                <w:noProof/>
              </w:rPr>
              <w:t>Section 4 - Enterprise Agreements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_Toc119730994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CD02F" w14:textId="16A77301" w:rsidR="00FB348F" w:rsidRDefault="00FB348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19730995" w:history="1">
            <w:r w:rsidRPr="009E2459">
              <w:rPr>
                <w:rStyle w:val="Hyperlink"/>
                <w:noProof/>
              </w:rPr>
              <w:t>Government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_Toc119730995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C49FB" w14:textId="114B6016" w:rsidR="00684E90" w:rsidRDefault="00684E90">
          <w:r>
            <w:rPr>
              <w:b/>
              <w:bCs/>
              <w:noProof/>
            </w:rPr>
            <w:fldChar w:fldCharType="end"/>
          </w:r>
        </w:p>
      </w:sdtContent>
    </w:sdt>
    <w:p w14:paraId="48BA34DB" w14:textId="2A8A90E6" w:rsidR="008209F2" w:rsidRDefault="008209F2" w:rsidP="002F65B6"/>
    <w:p w14:paraId="55DCD619" w14:textId="58DC55A0" w:rsidR="002F65B6" w:rsidRDefault="002F65B6" w:rsidP="002F65B6"/>
    <w:p w14:paraId="2C9F8C00" w14:textId="77777777" w:rsidR="00AF6EFF" w:rsidRDefault="00AF6EFF">
      <w:pPr>
        <w:rPr>
          <w:rFonts w:asciiTheme="majorHAnsi" w:eastAsiaTheme="majorEastAsia" w:hAnsiTheme="majorHAnsi" w:cstheme="majorBidi" w:hint="eastAsia"/>
          <w:color w:val="11274B" w:themeColor="accent1"/>
          <w:sz w:val="36"/>
          <w:szCs w:val="36"/>
        </w:rPr>
      </w:pPr>
      <w:r>
        <w:rPr>
          <w:color w:val="11274B" w:themeColor="accent1"/>
        </w:rPr>
        <w:br w:type="page"/>
      </w:r>
    </w:p>
    <w:p w14:paraId="7B883099" w14:textId="357E7B50" w:rsidR="00016634" w:rsidRPr="00581DDE" w:rsidRDefault="0001742C" w:rsidP="00016634">
      <w:pPr>
        <w:pStyle w:val="Heading1"/>
        <w:rPr>
          <w:rFonts w:hint="eastAsia"/>
          <w:color w:val="11274B" w:themeColor="accent1"/>
        </w:rPr>
      </w:pPr>
      <w:bookmarkStart w:id="0" w:name="_Toc119730990"/>
      <w:r>
        <w:rPr>
          <w:color w:val="11274B" w:themeColor="accent1"/>
        </w:rPr>
        <w:lastRenderedPageBreak/>
        <w:t>Headline Results</w:t>
      </w:r>
      <w:bookmarkEnd w:id="0"/>
    </w:p>
    <w:p w14:paraId="32BD632E" w14:textId="4BEABCD6" w:rsidR="00016634" w:rsidRPr="001D5F5F" w:rsidRDefault="00016634" w:rsidP="00016634">
      <w:pPr>
        <w:rPr>
          <w:sz w:val="14"/>
          <w:szCs w:val="14"/>
        </w:rPr>
      </w:pPr>
    </w:p>
    <w:p w14:paraId="2692B075" w14:textId="485B19A8" w:rsidR="00016634" w:rsidRPr="001B0519" w:rsidRDefault="001D5F5F" w:rsidP="00016634">
      <w:pPr>
        <w:pStyle w:val="Heading5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792920" wp14:editId="49D7AD17">
            <wp:simplePos x="0" y="0"/>
            <wp:positionH relativeFrom="margin">
              <wp:posOffset>-272415</wp:posOffset>
            </wp:positionH>
            <wp:positionV relativeFrom="page">
              <wp:posOffset>2286000</wp:posOffset>
            </wp:positionV>
            <wp:extent cx="6276975" cy="2601595"/>
            <wp:effectExtent l="0" t="0" r="0" b="8255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E08">
        <w:rPr>
          <w:sz w:val="24"/>
          <w:szCs w:val="24"/>
        </w:rPr>
        <w:t>WA businesses are gravely concerned about the proposed policy</w:t>
      </w:r>
    </w:p>
    <w:p w14:paraId="241EB4F3" w14:textId="77777777" w:rsidR="00BF12C8" w:rsidRDefault="001B38FC" w:rsidP="00BF12C8">
      <w:r>
        <w:t xml:space="preserve"> </w:t>
      </w:r>
    </w:p>
    <w:p w14:paraId="71C4B5E8" w14:textId="03606566" w:rsidR="00CE50B1" w:rsidRDefault="00CE67B6" w:rsidP="00016634">
      <w:r w:rsidRPr="00CE67B6">
        <w:rPr>
          <w:noProof/>
          <w:sz w:val="24"/>
          <w:szCs w:val="24"/>
        </w:rPr>
        <w:drawing>
          <wp:anchor distT="0" distB="0" distL="114300" distR="114300" simplePos="0" relativeHeight="251658248" behindDoc="0" locked="0" layoutInCell="1" allowOverlap="1" wp14:anchorId="1A6F2BAC" wp14:editId="3AEA4EA4">
            <wp:simplePos x="0" y="0"/>
            <wp:positionH relativeFrom="column">
              <wp:posOffset>-272687</wp:posOffset>
            </wp:positionH>
            <wp:positionV relativeFrom="paragraph">
              <wp:posOffset>936898</wp:posOffset>
            </wp:positionV>
            <wp:extent cx="6265545" cy="2709545"/>
            <wp:effectExtent l="0" t="0" r="0" b="0"/>
            <wp:wrapSquare wrapText="bothSides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F759962C-7849-F0D4-F140-2FD2DB3457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A2D6F">
        <w:t>The vast majority of</w:t>
      </w:r>
      <w:proofErr w:type="gramEnd"/>
      <w:r w:rsidR="005A2D6F">
        <w:t xml:space="preserve"> respondents</w:t>
      </w:r>
      <w:r w:rsidR="00D63B28">
        <w:t>, amongst all business sizes,</w:t>
      </w:r>
      <w:r w:rsidR="005A2D6F">
        <w:t xml:space="preserve"> are worried </w:t>
      </w:r>
      <w:r w:rsidR="00657168">
        <w:t>by at least one aspect of the Federal Government’s industrial relations legislation</w:t>
      </w:r>
      <w:r w:rsidR="00D63B28">
        <w:t xml:space="preserve">. </w:t>
      </w:r>
      <w:r w:rsidR="009010F5">
        <w:t xml:space="preserve">More than nine out of ten (92%) businesses </w:t>
      </w:r>
      <w:r w:rsidR="00841516">
        <w:t>indicated</w:t>
      </w:r>
      <w:r w:rsidR="009010F5">
        <w:t xml:space="preserve"> they were worried </w:t>
      </w:r>
      <w:r w:rsidR="00925E73">
        <w:t>about the new legislation</w:t>
      </w:r>
      <w:r w:rsidR="008D04BF">
        <w:t xml:space="preserve">, with small (93%), medium (89%) and large (96%) businesses all </w:t>
      </w:r>
      <w:r w:rsidR="00C12A6A">
        <w:t xml:space="preserve">voicing concern. </w:t>
      </w:r>
    </w:p>
    <w:p w14:paraId="7912A77A" w14:textId="77777777" w:rsidR="00CE67B6" w:rsidRPr="00CE67B6" w:rsidRDefault="00CE67B6" w:rsidP="00CE67B6"/>
    <w:p w14:paraId="16BF227E" w14:textId="17B21EB3" w:rsidR="001D5F5F" w:rsidRPr="00547688" w:rsidRDefault="002E11B0" w:rsidP="00547688">
      <w:r>
        <w:t>Losing con</w:t>
      </w:r>
      <w:r w:rsidR="00621536">
        <w:t xml:space="preserve">trol of work arrangements </w:t>
      </w:r>
      <w:r w:rsidR="00E84458">
        <w:t xml:space="preserve">is set to have the biggest impact on businesses, with </w:t>
      </w:r>
      <w:r w:rsidR="004965AE">
        <w:t xml:space="preserve">93 per cent </w:t>
      </w:r>
      <w:r w:rsidR="001A354A">
        <w:t>saying this would at least have a damaging impact</w:t>
      </w:r>
      <w:r w:rsidR="005C1BFF">
        <w:t xml:space="preserve"> </w:t>
      </w:r>
      <w:r w:rsidR="001B07FE">
        <w:t>– 59 per cent of which is extremely damaging</w:t>
      </w:r>
      <w:r w:rsidR="005C1BFF">
        <w:t>.</w:t>
      </w:r>
      <w:r w:rsidR="001B07FE">
        <w:t xml:space="preserve"> </w:t>
      </w:r>
      <w:r w:rsidR="00595706">
        <w:t xml:space="preserve">This is </w:t>
      </w:r>
      <w:r w:rsidR="00F34FF7">
        <w:t xml:space="preserve">closely </w:t>
      </w:r>
      <w:r w:rsidR="00595706">
        <w:t xml:space="preserve">followed by multi-employer bargaining, which 87 per cent </w:t>
      </w:r>
      <w:r w:rsidR="00CF7B1B">
        <w:t xml:space="preserve">said would be damaging. </w:t>
      </w:r>
      <w:r w:rsidR="005C1BFF">
        <w:t xml:space="preserve"> </w:t>
      </w:r>
    </w:p>
    <w:p w14:paraId="620F0EF1" w14:textId="731A6A11" w:rsidR="002F65B6" w:rsidRPr="00581DDE" w:rsidRDefault="003C47D2" w:rsidP="00581DDE">
      <w:pPr>
        <w:pStyle w:val="Heading1"/>
        <w:rPr>
          <w:rFonts w:hint="eastAsia"/>
          <w:color w:val="11274B" w:themeColor="accent1"/>
        </w:rPr>
      </w:pPr>
      <w:bookmarkStart w:id="1" w:name="_Toc119730991"/>
      <w:r>
        <w:rPr>
          <w:color w:val="11274B" w:themeColor="accent1"/>
        </w:rPr>
        <w:lastRenderedPageBreak/>
        <w:t xml:space="preserve">Section 1 - </w:t>
      </w:r>
      <w:r w:rsidR="00D94908">
        <w:rPr>
          <w:color w:val="11274B" w:themeColor="accent1"/>
        </w:rPr>
        <w:t>Multi-Employer Bargaining</w:t>
      </w:r>
      <w:bookmarkEnd w:id="1"/>
    </w:p>
    <w:p w14:paraId="7D45F8ED" w14:textId="77777777" w:rsidR="007D0C7D" w:rsidRDefault="007D0C7D" w:rsidP="001B0519">
      <w:pPr>
        <w:pStyle w:val="Heading5"/>
        <w:rPr>
          <w:rFonts w:hint="eastAsia"/>
          <w:sz w:val="24"/>
          <w:szCs w:val="24"/>
        </w:rPr>
      </w:pPr>
    </w:p>
    <w:p w14:paraId="19F62CD1" w14:textId="3912DFD8" w:rsidR="001B0519" w:rsidRPr="001B0519" w:rsidRDefault="00BA505A" w:rsidP="001B0519">
      <w:pPr>
        <w:pStyle w:val="Heading5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B66438E" wp14:editId="79858B40">
            <wp:simplePos x="0" y="0"/>
            <wp:positionH relativeFrom="margin">
              <wp:posOffset>-180975</wp:posOffset>
            </wp:positionH>
            <wp:positionV relativeFrom="paragraph">
              <wp:posOffset>297815</wp:posOffset>
            </wp:positionV>
            <wp:extent cx="5986780" cy="2419350"/>
            <wp:effectExtent l="0" t="0" r="0" b="0"/>
            <wp:wrapSquare wrapText="bothSides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519">
        <w:rPr>
          <w:sz w:val="24"/>
          <w:szCs w:val="24"/>
        </w:rPr>
        <w:t xml:space="preserve">The </w:t>
      </w:r>
      <w:r w:rsidR="00D94908">
        <w:rPr>
          <w:sz w:val="24"/>
          <w:szCs w:val="24"/>
        </w:rPr>
        <w:t xml:space="preserve">impact </w:t>
      </w:r>
    </w:p>
    <w:p w14:paraId="015EA627" w14:textId="026157DA" w:rsidR="007D0C7D" w:rsidRDefault="007D0C7D" w:rsidP="00581DDE">
      <w:pPr>
        <w:pStyle w:val="Heading5"/>
        <w:rPr>
          <w:rFonts w:hint="eastAsia"/>
          <w:sz w:val="24"/>
          <w:szCs w:val="24"/>
        </w:rPr>
      </w:pPr>
    </w:p>
    <w:p w14:paraId="71181B64" w14:textId="32F01BD4" w:rsidR="007D0C7D" w:rsidRDefault="002F718C" w:rsidP="007D0C7D">
      <w:r>
        <w:t xml:space="preserve">Almost 9 out of 10 businesses (87%) said </w:t>
      </w:r>
      <w:r w:rsidR="00EF7794">
        <w:t>multi-employer bargaining would have at least a damaging impact on their business</w:t>
      </w:r>
      <w:r w:rsidR="0024683F">
        <w:t xml:space="preserve">, with half (49%) saying </w:t>
      </w:r>
      <w:r w:rsidR="00471C4C">
        <w:t xml:space="preserve">it would be extremely damaging. </w:t>
      </w:r>
    </w:p>
    <w:p w14:paraId="33BB6848" w14:textId="77777777" w:rsidR="007D0C7D" w:rsidRPr="007D0C7D" w:rsidRDefault="007D0C7D" w:rsidP="007D0C7D"/>
    <w:p w14:paraId="4061BCCB" w14:textId="1542FBE0" w:rsidR="00581DDE" w:rsidRDefault="00D94908" w:rsidP="00581DDE">
      <w:pPr>
        <w:pStyle w:val="Heading5"/>
        <w:rPr>
          <w:rFonts w:hint="eastAsia"/>
          <w:sz w:val="24"/>
          <w:szCs w:val="24"/>
        </w:rPr>
      </w:pPr>
      <w:r>
        <w:rPr>
          <w:sz w:val="24"/>
          <w:szCs w:val="24"/>
        </w:rPr>
        <w:t>Business response</w:t>
      </w:r>
    </w:p>
    <w:p w14:paraId="53C4F7DB" w14:textId="45C575CD" w:rsidR="006C7209" w:rsidRDefault="00864BA8" w:rsidP="00D110FF">
      <w:bookmarkStart w:id="2" w:name="_Toc70537810"/>
      <w:r w:rsidRPr="00F075AE">
        <w:rPr>
          <w:noProof/>
          <w:color w:val="11274B"/>
        </w:rPr>
        <w:drawing>
          <wp:anchor distT="0" distB="0" distL="114300" distR="114300" simplePos="0" relativeHeight="251658242" behindDoc="0" locked="0" layoutInCell="1" allowOverlap="1" wp14:anchorId="3553F3D0" wp14:editId="03AEEC76">
            <wp:simplePos x="0" y="0"/>
            <wp:positionH relativeFrom="margin">
              <wp:align>center</wp:align>
            </wp:positionH>
            <wp:positionV relativeFrom="paragraph">
              <wp:posOffset>284480</wp:posOffset>
            </wp:positionV>
            <wp:extent cx="5800725" cy="3190875"/>
            <wp:effectExtent l="0" t="0" r="0" b="0"/>
            <wp:wrapTopAndBottom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70F8F" w14:textId="77777777" w:rsidR="00547688" w:rsidRDefault="00547688" w:rsidP="009F07EB"/>
    <w:p w14:paraId="1322C034" w14:textId="1EA7162C" w:rsidR="007D0C7D" w:rsidRDefault="009F07EB" w:rsidP="009F07EB">
      <w:r>
        <w:lastRenderedPageBreak/>
        <w:t>By far and away</w:t>
      </w:r>
      <w:r w:rsidR="00A73ED1">
        <w:t xml:space="preserve">, the greatest response to multi-employer bargaining </w:t>
      </w:r>
      <w:r w:rsidR="00AA0F40">
        <w:t xml:space="preserve">would be employing fewer staff, with </w:t>
      </w:r>
      <w:r w:rsidR="004509EC">
        <w:t xml:space="preserve">around three in five (63%) businesses indicating they would need to do so. </w:t>
      </w:r>
      <w:r w:rsidR="008741C7">
        <w:t xml:space="preserve">CCIWA estimates </w:t>
      </w:r>
      <w:r w:rsidR="00D01C41">
        <w:t>29,952</w:t>
      </w:r>
      <w:r w:rsidR="005E48ED">
        <w:t xml:space="preserve"> businesses may </w:t>
      </w:r>
      <w:r w:rsidR="00A91857">
        <w:t xml:space="preserve">employ fewer staff </w:t>
      </w:r>
      <w:r w:rsidR="003D7A0B">
        <w:t>due to multi-employer bargaining</w:t>
      </w:r>
      <w:r w:rsidR="00DB2704">
        <w:rPr>
          <w:rStyle w:val="FootnoteReference"/>
        </w:rPr>
        <w:footnoteReference w:id="2"/>
      </w:r>
      <w:r w:rsidR="003D7A0B">
        <w:t xml:space="preserve">. </w:t>
      </w:r>
      <w:r w:rsidR="000858D2">
        <w:t xml:space="preserve">Two in five (42%) </w:t>
      </w:r>
      <w:r w:rsidR="00563D3F">
        <w:t xml:space="preserve">said they would need to scale down their business, whilst </w:t>
      </w:r>
      <w:r w:rsidR="00C72CC9">
        <w:t xml:space="preserve">one third (33%) said they would have to invest more in automation. </w:t>
      </w:r>
      <w:r w:rsidR="00DF5006">
        <w:t xml:space="preserve">Just over one in ten (12%) indicated they would </w:t>
      </w:r>
      <w:r w:rsidR="00803326">
        <w:t>need to close their business.</w:t>
      </w:r>
    </w:p>
    <w:p w14:paraId="1CCBD0B6" w14:textId="77777777" w:rsidR="0030230D" w:rsidRDefault="0030230D" w:rsidP="00D94908">
      <w:pPr>
        <w:pStyle w:val="Heading5"/>
        <w:rPr>
          <w:rFonts w:hint="eastAsia"/>
          <w:sz w:val="24"/>
          <w:szCs w:val="24"/>
        </w:rPr>
      </w:pPr>
    </w:p>
    <w:p w14:paraId="2D1593CE" w14:textId="77777777" w:rsidR="0030230D" w:rsidRDefault="0030230D" w:rsidP="00D94908">
      <w:pPr>
        <w:pStyle w:val="Heading5"/>
        <w:rPr>
          <w:rFonts w:hint="eastAsia"/>
          <w:sz w:val="24"/>
          <w:szCs w:val="24"/>
        </w:rPr>
      </w:pPr>
    </w:p>
    <w:p w14:paraId="5C8AE59E" w14:textId="60ADD70D" w:rsidR="00D94908" w:rsidRDefault="00DB2704" w:rsidP="00D94908">
      <w:pPr>
        <w:pStyle w:val="Heading5"/>
        <w:rPr>
          <w:rFonts w:hint="eastAsia"/>
          <w:sz w:val="24"/>
          <w:szCs w:val="24"/>
        </w:rPr>
      </w:pPr>
      <w:r>
        <w:rPr>
          <w:sz w:val="24"/>
          <w:szCs w:val="24"/>
        </w:rPr>
        <w:t>Concern by sector</w:t>
      </w:r>
    </w:p>
    <w:bookmarkEnd w:id="2"/>
    <w:p w14:paraId="52B258C2" w14:textId="2847A883" w:rsidR="00204DC6" w:rsidRDefault="00461D45" w:rsidP="00DC7628">
      <w:pPr>
        <w:pStyle w:val="Heading5"/>
        <w:rPr>
          <w:rFonts w:hint="eastAsia"/>
          <w:sz w:val="24"/>
          <w:szCs w:val="24"/>
        </w:rPr>
      </w:pPr>
      <w:r w:rsidRPr="006C28A9">
        <w:rPr>
          <w:noProof/>
        </w:rPr>
        <w:drawing>
          <wp:anchor distT="0" distB="0" distL="114300" distR="114300" simplePos="0" relativeHeight="251658249" behindDoc="0" locked="0" layoutInCell="1" allowOverlap="1" wp14:anchorId="18CEB2FB" wp14:editId="749632DF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6353175" cy="3819525"/>
            <wp:effectExtent l="0" t="0" r="0" b="0"/>
            <wp:wrapSquare wrapText="bothSides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78102A12-27C1-A2FD-53F5-443AFB7405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EF1F4" w14:textId="5E18BCB6" w:rsidR="00C671B6" w:rsidRDefault="0011647E">
      <w:r>
        <w:t xml:space="preserve">The agriculture, transport and real estate sectors </w:t>
      </w:r>
      <w:r w:rsidR="007C418C">
        <w:t xml:space="preserve">indicated they were the most concerned, with all respondents from these sectors saying they would be negatively impacted </w:t>
      </w:r>
      <w:r w:rsidR="00F371D9">
        <w:t xml:space="preserve">by the legislation. Businesses in the </w:t>
      </w:r>
      <w:r w:rsidR="00F46B02">
        <w:t>m</w:t>
      </w:r>
      <w:r w:rsidR="00F371D9">
        <w:t>anufacturing (93%), educ</w:t>
      </w:r>
      <w:r w:rsidR="00CB7D11">
        <w:t xml:space="preserve">ation &amp; training (90%) and health care &amp; social assistance (88%) industries also saw a large proportion of respondents indicate they would be </w:t>
      </w:r>
      <w:r w:rsidR="00F46B02">
        <w:t xml:space="preserve">damaged. </w:t>
      </w:r>
      <w:r w:rsidR="00C671B6">
        <w:br w:type="page"/>
      </w:r>
    </w:p>
    <w:p w14:paraId="2D426C5F" w14:textId="1F5CDE03" w:rsidR="00C671B6" w:rsidRPr="00581DDE" w:rsidRDefault="003C47D2" w:rsidP="00C671B6">
      <w:pPr>
        <w:pStyle w:val="Heading1"/>
        <w:rPr>
          <w:rFonts w:hint="eastAsia"/>
          <w:color w:val="11274B" w:themeColor="accent1"/>
        </w:rPr>
      </w:pPr>
      <w:bookmarkStart w:id="3" w:name="_Toc119730992"/>
      <w:r>
        <w:rPr>
          <w:color w:val="11274B" w:themeColor="accent1"/>
        </w:rPr>
        <w:lastRenderedPageBreak/>
        <w:t xml:space="preserve">Section 2 - </w:t>
      </w:r>
      <w:r w:rsidR="00C671B6">
        <w:rPr>
          <w:color w:val="11274B" w:themeColor="accent1"/>
        </w:rPr>
        <w:t>Compulsory Arbitration of Work Arrangements</w:t>
      </w:r>
      <w:bookmarkEnd w:id="3"/>
      <w:r w:rsidR="00C671B6">
        <w:rPr>
          <w:color w:val="11274B" w:themeColor="accent1"/>
        </w:rPr>
        <w:t xml:space="preserve"> </w:t>
      </w:r>
    </w:p>
    <w:p w14:paraId="0605A4F8" w14:textId="77777777" w:rsidR="00C671B6" w:rsidRPr="00C671B6" w:rsidRDefault="00C671B6" w:rsidP="00C671B6"/>
    <w:p w14:paraId="7DBA0EBA" w14:textId="4F7A3425" w:rsidR="00C671B6" w:rsidRPr="001B0519" w:rsidRDefault="00DE3929" w:rsidP="00C671B6">
      <w:pPr>
        <w:pStyle w:val="Heading5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7A9AE90A" wp14:editId="24B2A5F7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6238875" cy="2552700"/>
            <wp:effectExtent l="0" t="0" r="0" b="0"/>
            <wp:wrapSquare wrapText="bothSides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B6">
        <w:rPr>
          <w:sz w:val="24"/>
          <w:szCs w:val="24"/>
        </w:rPr>
        <w:t xml:space="preserve">The impact </w:t>
      </w:r>
    </w:p>
    <w:p w14:paraId="5EE4032B" w14:textId="77777777" w:rsidR="002D7440" w:rsidRDefault="002D7440" w:rsidP="00B44D45"/>
    <w:p w14:paraId="07831239" w14:textId="520207BF" w:rsidR="00B44D45" w:rsidRPr="00B44D45" w:rsidRDefault="00A3710F" w:rsidP="00B44D45">
      <w:r>
        <w:t xml:space="preserve">More than 9 out of 10 WA businesses </w:t>
      </w:r>
      <w:r w:rsidR="00C45B81">
        <w:t xml:space="preserve">said </w:t>
      </w:r>
      <w:r w:rsidR="004469F7">
        <w:t>losing the ability to set their own w</w:t>
      </w:r>
      <w:r w:rsidR="00E229AB">
        <w:t>ork arrangements would have a damaging impact</w:t>
      </w:r>
      <w:r w:rsidR="00556623">
        <w:t xml:space="preserve"> </w:t>
      </w:r>
      <w:r w:rsidR="000540A5">
        <w:t>–</w:t>
      </w:r>
      <w:r w:rsidR="00556623">
        <w:t xml:space="preserve"> </w:t>
      </w:r>
      <w:r w:rsidR="000540A5">
        <w:t xml:space="preserve">3 in 5 (59%) said this impact would be extremely damaging. </w:t>
      </w:r>
    </w:p>
    <w:p w14:paraId="184270D7" w14:textId="77777777" w:rsidR="00C671B6" w:rsidRDefault="00C671B6" w:rsidP="00B44D45">
      <w:pPr>
        <w:rPr>
          <w:sz w:val="24"/>
          <w:szCs w:val="24"/>
        </w:rPr>
      </w:pPr>
    </w:p>
    <w:p w14:paraId="7691CE7A" w14:textId="6C6C5B5A" w:rsidR="00C671B6" w:rsidRDefault="00DE3929" w:rsidP="00B44D45">
      <w:r>
        <w:rPr>
          <w:noProof/>
        </w:rPr>
        <w:drawing>
          <wp:anchor distT="0" distB="0" distL="114300" distR="114300" simplePos="0" relativeHeight="251658246" behindDoc="0" locked="0" layoutInCell="1" allowOverlap="1" wp14:anchorId="3608604B" wp14:editId="66B86956">
            <wp:simplePos x="0" y="0"/>
            <wp:positionH relativeFrom="margin">
              <wp:posOffset>-247650</wp:posOffset>
            </wp:positionH>
            <wp:positionV relativeFrom="paragraph">
              <wp:posOffset>375285</wp:posOffset>
            </wp:positionV>
            <wp:extent cx="6381750" cy="2809875"/>
            <wp:effectExtent l="0" t="0" r="0" b="0"/>
            <wp:wrapSquare wrapText="bothSides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1B6">
        <w:rPr>
          <w:sz w:val="24"/>
          <w:szCs w:val="24"/>
        </w:rPr>
        <w:t>Business response</w:t>
      </w:r>
    </w:p>
    <w:p w14:paraId="3CBABF9B" w14:textId="7EA2F9AE" w:rsidR="00C671B6" w:rsidRDefault="009B6053" w:rsidP="00B44D45">
      <w:r>
        <w:lastRenderedPageBreak/>
        <w:t>Around three in five</w:t>
      </w:r>
      <w:r w:rsidR="00E05E17">
        <w:t xml:space="preserve"> (62%)</w:t>
      </w:r>
      <w:r>
        <w:t xml:space="preserve"> </w:t>
      </w:r>
      <w:r w:rsidR="00424135">
        <w:t xml:space="preserve">businesses indicated they would </w:t>
      </w:r>
      <w:r w:rsidR="009F26BA">
        <w:t xml:space="preserve">need to employ fewer staff </w:t>
      </w:r>
      <w:r w:rsidR="00E05E17">
        <w:t xml:space="preserve">in response to losing </w:t>
      </w:r>
      <w:r w:rsidR="00962784">
        <w:t xml:space="preserve">control </w:t>
      </w:r>
      <w:r w:rsidR="001C7E6E">
        <w:t>of setting their own work conditions</w:t>
      </w:r>
      <w:r w:rsidR="007B4A37">
        <w:t xml:space="preserve"> </w:t>
      </w:r>
      <w:r w:rsidR="00555727">
        <w:t>–</w:t>
      </w:r>
      <w:r w:rsidR="007B4A37">
        <w:t xml:space="preserve"> </w:t>
      </w:r>
      <w:r w:rsidR="00555727">
        <w:t xml:space="preserve">CCIWA estimates </w:t>
      </w:r>
      <w:r w:rsidR="006659F1">
        <w:t>3</w:t>
      </w:r>
      <w:r w:rsidR="00D01C41">
        <w:t xml:space="preserve">3,760 </w:t>
      </w:r>
      <w:r w:rsidR="007927AE">
        <w:t xml:space="preserve">workplaces </w:t>
      </w:r>
      <w:r w:rsidR="006D4937">
        <w:t xml:space="preserve">may </w:t>
      </w:r>
      <w:r w:rsidR="009569A8">
        <w:t>reduce the number of staff they employ</w:t>
      </w:r>
      <w:r w:rsidR="001E2CE3">
        <w:rPr>
          <w:vertAlign w:val="superscript"/>
        </w:rPr>
        <w:t>1</w:t>
      </w:r>
      <w:r w:rsidR="001C7E6E">
        <w:t xml:space="preserve">. </w:t>
      </w:r>
      <w:r w:rsidR="009A1C21">
        <w:t xml:space="preserve">Just under one half (45%) </w:t>
      </w:r>
      <w:r w:rsidR="00D444F0">
        <w:t xml:space="preserve">said they would </w:t>
      </w:r>
      <w:r w:rsidR="0098336D">
        <w:t>have to scale down their business</w:t>
      </w:r>
      <w:r w:rsidR="00C41D61">
        <w:t xml:space="preserve">, with three in ten (31%) having to invest more in automation. </w:t>
      </w:r>
      <w:r w:rsidR="00FA2AE6">
        <w:t xml:space="preserve">Nearly </w:t>
      </w:r>
      <w:r w:rsidR="00572CFA">
        <w:t>one in six</w:t>
      </w:r>
      <w:r w:rsidR="00762EBB">
        <w:t xml:space="preserve"> (16%) said they would be forced to close their business. </w:t>
      </w:r>
    </w:p>
    <w:p w14:paraId="5E06A655" w14:textId="533E90CB" w:rsidR="00EC6FA3" w:rsidRDefault="00EC6FA3" w:rsidP="00B44D45"/>
    <w:p w14:paraId="635583E2" w14:textId="359D51CC" w:rsidR="00C671B6" w:rsidRDefault="00BE7B91" w:rsidP="00C671B6">
      <w:pPr>
        <w:pStyle w:val="Heading5"/>
        <w:rPr>
          <w:rFonts w:hint="eastAsia"/>
          <w:sz w:val="24"/>
          <w:szCs w:val="24"/>
        </w:rPr>
      </w:pPr>
      <w:r w:rsidRPr="00DE3929">
        <w:rPr>
          <w:noProof/>
        </w:rPr>
        <w:drawing>
          <wp:anchor distT="0" distB="0" distL="114300" distR="114300" simplePos="0" relativeHeight="251658250" behindDoc="0" locked="0" layoutInCell="1" allowOverlap="1" wp14:anchorId="68FDBB07" wp14:editId="16191F10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6810375" cy="4333875"/>
            <wp:effectExtent l="0" t="0" r="0" b="0"/>
            <wp:wrapSquare wrapText="bothSides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F95749E5-BF72-ED50-64B4-AE6896BC44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F7">
        <w:rPr>
          <w:sz w:val="24"/>
          <w:szCs w:val="24"/>
        </w:rPr>
        <w:t>concern by sector</w:t>
      </w:r>
    </w:p>
    <w:p w14:paraId="61F5916E" w14:textId="72E2309C" w:rsidR="00C671B6" w:rsidRDefault="00C671B6" w:rsidP="00B44D45"/>
    <w:p w14:paraId="387A9409" w14:textId="5E0EFEDE" w:rsidR="00DE3929" w:rsidRDefault="0005347E" w:rsidP="00B44D45">
      <w:r>
        <w:t>All respondents from the real estate, transport, agricul</w:t>
      </w:r>
      <w:r w:rsidR="00521F5B">
        <w:t xml:space="preserve">ture and retail, accommodation and food industries </w:t>
      </w:r>
      <w:r w:rsidR="00026C07">
        <w:t xml:space="preserve">indicated that </w:t>
      </w:r>
      <w:r w:rsidR="00AB286C">
        <w:t xml:space="preserve">losing the ability to set their own work arrangements </w:t>
      </w:r>
      <w:r w:rsidR="00AA5D87">
        <w:t>would be damaging to their businesses.</w:t>
      </w:r>
      <w:r w:rsidR="008D4A64">
        <w:t xml:space="preserve"> Manufacturing (97%), </w:t>
      </w:r>
      <w:r w:rsidR="009D757B">
        <w:t xml:space="preserve">health care &amp; social assistance (94%) and the resources sector (90%) </w:t>
      </w:r>
      <w:r w:rsidR="00FA03FF">
        <w:t xml:space="preserve">also indicated a </w:t>
      </w:r>
      <w:r w:rsidR="00291B03">
        <w:t xml:space="preserve">significant majority of businesses would be negatively impacted. </w:t>
      </w:r>
      <w:r w:rsidR="00AA5D87">
        <w:t xml:space="preserve"> </w:t>
      </w:r>
    </w:p>
    <w:p w14:paraId="29600C7B" w14:textId="06C8DC9A" w:rsidR="00C671B6" w:rsidRPr="00B44D45" w:rsidRDefault="00C671B6" w:rsidP="00B44D45">
      <w:pPr>
        <w:sectPr w:rsidR="00C671B6" w:rsidRPr="00B44D45" w:rsidSect="00204B65">
          <w:headerReference w:type="default" r:id="rId19"/>
          <w:pgSz w:w="11906" w:h="16838"/>
          <w:pgMar w:top="2268" w:right="1440" w:bottom="1135" w:left="1440" w:header="708" w:footer="708" w:gutter="0"/>
          <w:cols w:space="708"/>
          <w:docGrid w:linePitch="360"/>
        </w:sectPr>
      </w:pPr>
    </w:p>
    <w:p w14:paraId="0C3D4E37" w14:textId="02FFF3F6" w:rsidR="008A7C4A" w:rsidRPr="00581DDE" w:rsidRDefault="00ED08B3" w:rsidP="008A7C4A">
      <w:pPr>
        <w:pStyle w:val="Heading1"/>
        <w:rPr>
          <w:rFonts w:hint="eastAsia"/>
          <w:color w:val="11274B" w:themeColor="accent1"/>
        </w:rPr>
      </w:pPr>
      <w:bookmarkStart w:id="4" w:name="_Toc119730993"/>
      <w:r>
        <w:rPr>
          <w:rFonts w:hint="eastAsia"/>
          <w:color w:val="11274B" w:themeColor="accent1"/>
        </w:rPr>
        <w:lastRenderedPageBreak/>
        <w:t>S</w:t>
      </w:r>
      <w:r>
        <w:rPr>
          <w:color w:val="11274B" w:themeColor="accent1"/>
        </w:rPr>
        <w:t xml:space="preserve">ection 3 - </w:t>
      </w:r>
      <w:r w:rsidR="008A7C4A">
        <w:rPr>
          <w:color w:val="11274B" w:themeColor="accent1"/>
        </w:rPr>
        <w:t>Limiting Fixed Term Contracts</w:t>
      </w:r>
      <w:bookmarkEnd w:id="4"/>
      <w:r w:rsidR="008A7C4A">
        <w:rPr>
          <w:color w:val="11274B" w:themeColor="accent1"/>
        </w:rPr>
        <w:t xml:space="preserve"> </w:t>
      </w:r>
    </w:p>
    <w:p w14:paraId="26EE3C85" w14:textId="77777777" w:rsidR="008A7C4A" w:rsidRPr="00C671B6" w:rsidRDefault="008A7C4A" w:rsidP="008A7C4A"/>
    <w:p w14:paraId="1C94780F" w14:textId="77777777" w:rsidR="008A7C4A" w:rsidRPr="001B0519" w:rsidRDefault="008A7C4A" w:rsidP="008A7C4A">
      <w:pPr>
        <w:pStyle w:val="Heading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 impact </w:t>
      </w:r>
    </w:p>
    <w:p w14:paraId="06CEA4B4" w14:textId="7CE9E1CA" w:rsidR="008A7C4A" w:rsidRPr="00B44D45" w:rsidRDefault="004F1F0A" w:rsidP="008A7C4A">
      <w:r>
        <w:rPr>
          <w:noProof/>
        </w:rPr>
        <w:drawing>
          <wp:anchor distT="0" distB="0" distL="114300" distR="114300" simplePos="0" relativeHeight="251658243" behindDoc="0" locked="0" layoutInCell="1" allowOverlap="1" wp14:anchorId="6A4000D7" wp14:editId="71A9DC8F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6238875" cy="2466975"/>
            <wp:effectExtent l="0" t="0" r="0" b="0"/>
            <wp:wrapSquare wrapText="bothSides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892EE" w14:textId="77777777" w:rsidR="002D7440" w:rsidRDefault="002D7440" w:rsidP="008A7C4A"/>
    <w:p w14:paraId="1C994F9A" w14:textId="6DFC151C" w:rsidR="008A7C4A" w:rsidRDefault="00D2140A" w:rsidP="008A7C4A">
      <w:r>
        <w:t xml:space="preserve">Just over half (55%) of businesses indicated </w:t>
      </w:r>
      <w:r w:rsidR="005336E2">
        <w:t xml:space="preserve">limits to fixed term contracts </w:t>
      </w:r>
      <w:r w:rsidR="00D923DB">
        <w:t xml:space="preserve">would </w:t>
      </w:r>
      <w:r w:rsidR="00AE6F79">
        <w:t>have a damaging impact on their business</w:t>
      </w:r>
      <w:r w:rsidR="008D2A7C">
        <w:t xml:space="preserve">, with </w:t>
      </w:r>
      <w:r w:rsidR="00BD504A">
        <w:t xml:space="preserve">one in five (22%) saying it would be extremely damaging. </w:t>
      </w:r>
      <w:r w:rsidR="00135C8E">
        <w:t xml:space="preserve">Reflecting the fact that many businesses do not rely on fixed-term contracts, </w:t>
      </w:r>
      <w:r w:rsidR="00F24BBF">
        <w:t>41% indicat</w:t>
      </w:r>
      <w:r w:rsidR="00135C8E">
        <w:t>ed</w:t>
      </w:r>
      <w:r w:rsidR="00F24BBF">
        <w:t xml:space="preserve"> it would have no impact. </w:t>
      </w:r>
    </w:p>
    <w:p w14:paraId="7198B4FA" w14:textId="318FCE8F" w:rsidR="00F24BBF" w:rsidRDefault="00291B03" w:rsidP="008A7C4A">
      <w:r>
        <w:rPr>
          <w:noProof/>
        </w:rPr>
        <w:drawing>
          <wp:anchor distT="0" distB="0" distL="114300" distR="114300" simplePos="0" relativeHeight="251658244" behindDoc="0" locked="0" layoutInCell="1" allowOverlap="1" wp14:anchorId="23778A28" wp14:editId="1449259E">
            <wp:simplePos x="0" y="0"/>
            <wp:positionH relativeFrom="margin">
              <wp:align>center</wp:align>
            </wp:positionH>
            <wp:positionV relativeFrom="paragraph">
              <wp:posOffset>716915</wp:posOffset>
            </wp:positionV>
            <wp:extent cx="6448425" cy="2619375"/>
            <wp:effectExtent l="0" t="0" r="0" b="0"/>
            <wp:wrapSquare wrapText="bothSides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1DFFB" w14:textId="5ECE75F3" w:rsidR="008A7C4A" w:rsidRDefault="008A7C4A" w:rsidP="008A7C4A">
      <w:pPr>
        <w:pStyle w:val="Heading5"/>
        <w:rPr>
          <w:rFonts w:hint="eastAsia"/>
          <w:sz w:val="24"/>
          <w:szCs w:val="24"/>
        </w:rPr>
      </w:pPr>
      <w:r>
        <w:rPr>
          <w:sz w:val="24"/>
          <w:szCs w:val="24"/>
        </w:rPr>
        <w:t>Business response</w:t>
      </w:r>
    </w:p>
    <w:p w14:paraId="3D1A7C1F" w14:textId="679FB324" w:rsidR="008A7C4A" w:rsidRDefault="008A7C4A" w:rsidP="008A7C4A"/>
    <w:p w14:paraId="3C18863B" w14:textId="5472B177" w:rsidR="008A7C4A" w:rsidRDefault="00EA24CB" w:rsidP="008A7C4A">
      <w:r>
        <w:lastRenderedPageBreak/>
        <w:t xml:space="preserve">Around three in five (62%) businesses indicated they would need to employ fewer staff </w:t>
      </w:r>
      <w:proofErr w:type="gramStart"/>
      <w:r w:rsidR="00AC69C4">
        <w:t>as a result of</w:t>
      </w:r>
      <w:proofErr w:type="gramEnd"/>
      <w:r w:rsidR="00AC69C4">
        <w:t xml:space="preserve"> limits to fixed-term contracts</w:t>
      </w:r>
      <w:r w:rsidR="00BD320C">
        <w:t>.</w:t>
      </w:r>
      <w:r w:rsidR="00AC69C4">
        <w:t xml:space="preserve"> Two in five (39%)</w:t>
      </w:r>
      <w:r w:rsidR="00A619C3">
        <w:t xml:space="preserve"> said they would have to scale down their business, with one in five (21%) indicating they would need to invest more in automation. </w:t>
      </w:r>
      <w:r w:rsidR="00745E90">
        <w:t xml:space="preserve">One in ten (10%) said they would be required to close their business. </w:t>
      </w:r>
      <w:r>
        <w:t xml:space="preserve"> </w:t>
      </w:r>
    </w:p>
    <w:p w14:paraId="13E25E87" w14:textId="77777777" w:rsidR="008A7C4A" w:rsidRDefault="008A7C4A" w:rsidP="008A7C4A"/>
    <w:p w14:paraId="6E511364" w14:textId="780655E2" w:rsidR="008A7C4A" w:rsidRDefault="00A73DF7" w:rsidP="008A7C4A">
      <w:pPr>
        <w:pStyle w:val="Heading5"/>
        <w:rPr>
          <w:rFonts w:hint="eastAsia"/>
          <w:sz w:val="24"/>
          <w:szCs w:val="24"/>
        </w:rPr>
      </w:pPr>
      <w:r>
        <w:rPr>
          <w:sz w:val="24"/>
          <w:szCs w:val="24"/>
        </w:rPr>
        <w:t>concern by sector</w:t>
      </w:r>
    </w:p>
    <w:p w14:paraId="4EF39365" w14:textId="6D2D5D56" w:rsidR="003C67A9" w:rsidRDefault="003C67A9">
      <w:pPr>
        <w:pStyle w:val="Heading5"/>
        <w:rPr>
          <w:rFonts w:hint="eastAsia"/>
          <w:sz w:val="24"/>
          <w:szCs w:val="24"/>
        </w:rPr>
      </w:pPr>
    </w:p>
    <w:p w14:paraId="00629991" w14:textId="79A5A2E1" w:rsidR="008A7C4A" w:rsidRDefault="00DD43A1" w:rsidP="008A7C4A">
      <w:r w:rsidRPr="00DD43A1">
        <w:rPr>
          <w:noProof/>
        </w:rPr>
        <w:drawing>
          <wp:anchor distT="0" distB="0" distL="114300" distR="114300" simplePos="0" relativeHeight="251658251" behindDoc="0" locked="0" layoutInCell="1" allowOverlap="1" wp14:anchorId="07472A64" wp14:editId="666D5AF8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173470" cy="3581400"/>
            <wp:effectExtent l="0" t="0" r="0" b="0"/>
            <wp:wrapSquare wrapText="bothSides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38514692-4082-A682-CB8A-32C41FE0E8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62668B58" w14:textId="4FBAC47F" w:rsidR="008A7C4A" w:rsidRDefault="00093FD0">
      <w:r>
        <w:t xml:space="preserve">Around three in five (63%) businesses in the transport industry indicated </w:t>
      </w:r>
      <w:r w:rsidR="0005079E">
        <w:t>they w</w:t>
      </w:r>
      <w:r w:rsidR="00D15F00">
        <w:t xml:space="preserve">ould be </w:t>
      </w:r>
      <w:r w:rsidR="00103840">
        <w:t xml:space="preserve">impacted by limits to fixed-term contracts. This was closely followed by the </w:t>
      </w:r>
      <w:r w:rsidR="001778A4">
        <w:t xml:space="preserve">manufacturing (59%) and </w:t>
      </w:r>
      <w:r w:rsidR="00425D53">
        <w:t xml:space="preserve">the </w:t>
      </w:r>
      <w:r w:rsidR="001778A4">
        <w:t>retail, accommodation</w:t>
      </w:r>
      <w:r w:rsidR="00425D53">
        <w:t>,</w:t>
      </w:r>
      <w:r w:rsidR="001778A4">
        <w:t xml:space="preserve"> and food</w:t>
      </w:r>
      <w:r w:rsidR="00425D53">
        <w:t xml:space="preserve"> (57%) industries. </w:t>
      </w:r>
      <w:r w:rsidR="008A7C4A">
        <w:br w:type="page"/>
      </w:r>
    </w:p>
    <w:p w14:paraId="45E0355B" w14:textId="216F5242" w:rsidR="008A7C4A" w:rsidRPr="00581DDE" w:rsidRDefault="00ED08B3" w:rsidP="008A7C4A">
      <w:pPr>
        <w:pStyle w:val="Heading1"/>
        <w:rPr>
          <w:rFonts w:hint="eastAsia"/>
          <w:color w:val="11274B" w:themeColor="accent1"/>
        </w:rPr>
      </w:pPr>
      <w:bookmarkStart w:id="5" w:name="_Toc119730994"/>
      <w:r>
        <w:rPr>
          <w:color w:val="11274B" w:themeColor="accent1"/>
        </w:rPr>
        <w:lastRenderedPageBreak/>
        <w:t xml:space="preserve">Section 4 - </w:t>
      </w:r>
      <w:r w:rsidR="008A7C4A">
        <w:rPr>
          <w:color w:val="11274B" w:themeColor="accent1"/>
        </w:rPr>
        <w:t>Enterprise Agreements</w:t>
      </w:r>
      <w:bookmarkEnd w:id="5"/>
    </w:p>
    <w:p w14:paraId="456BB32F" w14:textId="77777777" w:rsidR="008A7C4A" w:rsidRPr="00C671B6" w:rsidRDefault="008A7C4A" w:rsidP="008A7C4A"/>
    <w:p w14:paraId="4FC5FBB9" w14:textId="77777777" w:rsidR="008A7C4A" w:rsidRPr="001B0519" w:rsidRDefault="008A7C4A" w:rsidP="008A7C4A">
      <w:pPr>
        <w:pStyle w:val="Heading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 impact </w:t>
      </w:r>
    </w:p>
    <w:p w14:paraId="76134247" w14:textId="7AE4E1CF" w:rsidR="003D3D3D" w:rsidRDefault="002D7440" w:rsidP="008A7C4A">
      <w:r>
        <w:rPr>
          <w:noProof/>
        </w:rPr>
        <w:drawing>
          <wp:anchor distT="0" distB="0" distL="114300" distR="114300" simplePos="0" relativeHeight="251658253" behindDoc="0" locked="0" layoutInCell="1" allowOverlap="1" wp14:anchorId="5A7A43C5" wp14:editId="1866F595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6515100" cy="2381250"/>
            <wp:effectExtent l="0" t="0" r="0" b="0"/>
            <wp:wrapSquare wrapText="bothSides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6455F" w14:textId="20651FAF" w:rsidR="008A7C4A" w:rsidRDefault="003511D9" w:rsidP="008A7C4A">
      <w:r>
        <w:t xml:space="preserve">Almost three </w:t>
      </w:r>
      <w:r w:rsidR="00A56B72">
        <w:t xml:space="preserve">quarters (74%) </w:t>
      </w:r>
      <w:r w:rsidR="004A3A6E">
        <w:t xml:space="preserve">of </w:t>
      </w:r>
      <w:r w:rsidR="00997BC0">
        <w:t xml:space="preserve">WA </w:t>
      </w:r>
      <w:r w:rsidR="004A3A6E">
        <w:t>businesses</w:t>
      </w:r>
      <w:r w:rsidR="00997BC0">
        <w:t xml:space="preserve"> said </w:t>
      </w:r>
      <w:r w:rsidR="007E7866">
        <w:t xml:space="preserve">being compelled </w:t>
      </w:r>
      <w:r w:rsidR="00F12279">
        <w:t xml:space="preserve">to immediately bargain on a new agreement would have at least a damaging impact on their business, with </w:t>
      </w:r>
      <w:r w:rsidR="00662849">
        <w:t xml:space="preserve">two in five (41%) saying this would be extremely damaging. </w:t>
      </w:r>
    </w:p>
    <w:p w14:paraId="14FBB2E3" w14:textId="2E13B875" w:rsidR="008A7C4A" w:rsidRDefault="008A7C4A" w:rsidP="008A7C4A"/>
    <w:p w14:paraId="002C59E7" w14:textId="63D76A1A" w:rsidR="008A7C4A" w:rsidRPr="00E21667" w:rsidRDefault="00E21667" w:rsidP="00E21667">
      <w:pPr>
        <w:pStyle w:val="Heading5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40841A94" wp14:editId="12B769C5">
            <wp:simplePos x="0" y="0"/>
            <wp:positionH relativeFrom="margin">
              <wp:posOffset>-447675</wp:posOffset>
            </wp:positionH>
            <wp:positionV relativeFrom="paragraph">
              <wp:posOffset>346075</wp:posOffset>
            </wp:positionV>
            <wp:extent cx="6629400" cy="2695575"/>
            <wp:effectExtent l="0" t="0" r="0" b="0"/>
            <wp:wrapSquare wrapText="bothSides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C4A">
        <w:rPr>
          <w:sz w:val="24"/>
          <w:szCs w:val="24"/>
        </w:rPr>
        <w:t>Business response</w:t>
      </w:r>
    </w:p>
    <w:p w14:paraId="532C0184" w14:textId="77777777" w:rsidR="00D31191" w:rsidRDefault="00D31191" w:rsidP="00D31191"/>
    <w:p w14:paraId="72D7AB79" w14:textId="0CEA421A" w:rsidR="00D31191" w:rsidRDefault="00D31191" w:rsidP="00D31191">
      <w:r>
        <w:t xml:space="preserve">Three in five (60%) businesses indicated they would have to employ fewer staff in response to being compelled to immediately bargain on a new agreement. Just under </w:t>
      </w:r>
      <w:r>
        <w:lastRenderedPageBreak/>
        <w:t xml:space="preserve">one half (46%) said they would have to scale down their business, with three in ten (28%) needing to invest more in automation. </w:t>
      </w:r>
      <w:r w:rsidR="00016F54">
        <w:t>One in seven</w:t>
      </w:r>
      <w:r>
        <w:t xml:space="preserve"> (1</w:t>
      </w:r>
      <w:r w:rsidR="00016F54">
        <w:t>3</w:t>
      </w:r>
      <w:r>
        <w:t xml:space="preserve">%) said they would be </w:t>
      </w:r>
      <w:r w:rsidR="00390EB7">
        <w:t>required</w:t>
      </w:r>
      <w:r>
        <w:t xml:space="preserve"> to close their business. </w:t>
      </w:r>
    </w:p>
    <w:p w14:paraId="408192B0" w14:textId="6A710085" w:rsidR="008A7C4A" w:rsidRDefault="008A7C4A" w:rsidP="008A7C4A"/>
    <w:p w14:paraId="45E54461" w14:textId="77777777" w:rsidR="008A7C4A" w:rsidRDefault="008A7C4A" w:rsidP="008A7C4A"/>
    <w:p w14:paraId="077D0852" w14:textId="46A7276E" w:rsidR="008A7C4A" w:rsidRDefault="00E144E2" w:rsidP="008A7C4A">
      <w:pPr>
        <w:pStyle w:val="Heading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concerns by sector </w:t>
      </w:r>
    </w:p>
    <w:p w14:paraId="01B98998" w14:textId="6966E40B" w:rsidR="008A7C4A" w:rsidRDefault="00313DE6" w:rsidP="008A7C4A">
      <w:r w:rsidRPr="00313DE6">
        <w:rPr>
          <w:noProof/>
        </w:rPr>
        <w:drawing>
          <wp:anchor distT="0" distB="0" distL="114300" distR="114300" simplePos="0" relativeHeight="251658252" behindDoc="0" locked="0" layoutInCell="1" allowOverlap="1" wp14:anchorId="15BB7594" wp14:editId="19FBFA66">
            <wp:simplePos x="0" y="0"/>
            <wp:positionH relativeFrom="margin">
              <wp:posOffset>-352425</wp:posOffset>
            </wp:positionH>
            <wp:positionV relativeFrom="paragraph">
              <wp:posOffset>308610</wp:posOffset>
            </wp:positionV>
            <wp:extent cx="6429375" cy="3667125"/>
            <wp:effectExtent l="0" t="0" r="0" b="0"/>
            <wp:wrapSquare wrapText="bothSides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E26BA7C5-BD19-B9E8-5C94-87F581750F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V relativeFrom="margin">
              <wp14:pctHeight>0</wp14:pctHeight>
            </wp14:sizeRelV>
          </wp:anchor>
        </w:drawing>
      </w:r>
    </w:p>
    <w:p w14:paraId="2B475B68" w14:textId="1EEBE01D" w:rsidR="008A7C4A" w:rsidRDefault="00313DE6" w:rsidP="008A7C4A">
      <w:r>
        <w:t xml:space="preserve">Nearly nine out of ten businesses in the agriculture sector (87%) indicated they would be adversely impacted if they </w:t>
      </w:r>
      <w:r w:rsidR="00E1284A">
        <w:t xml:space="preserve">were compelled to immediately bargain on a new agreement. This was followed by </w:t>
      </w:r>
      <w:r w:rsidR="002358EB">
        <w:t xml:space="preserve">83 per cent </w:t>
      </w:r>
      <w:r w:rsidR="00E1284A">
        <w:t xml:space="preserve">of businesses in manufacturing and 79 per cent </w:t>
      </w:r>
      <w:r w:rsidR="002358EB">
        <w:t xml:space="preserve">in real estate. </w:t>
      </w:r>
    </w:p>
    <w:p w14:paraId="3B85926B" w14:textId="670169FB" w:rsidR="00707881" w:rsidRDefault="00707881">
      <w:r>
        <w:br w:type="page"/>
      </w:r>
    </w:p>
    <w:p w14:paraId="72ECC52B" w14:textId="344A6896" w:rsidR="00707881" w:rsidRDefault="00707881" w:rsidP="00707881">
      <w:pPr>
        <w:pStyle w:val="Heading1"/>
        <w:rPr>
          <w:rFonts w:hint="eastAsia"/>
          <w:color w:val="11274B" w:themeColor="accent1"/>
        </w:rPr>
      </w:pPr>
      <w:bookmarkStart w:id="6" w:name="_Toc119730995"/>
      <w:r>
        <w:rPr>
          <w:color w:val="11274B" w:themeColor="accent1"/>
        </w:rPr>
        <w:lastRenderedPageBreak/>
        <w:t>Government Response</w:t>
      </w:r>
      <w:bookmarkEnd w:id="6"/>
      <w:r>
        <w:rPr>
          <w:color w:val="11274B" w:themeColor="accent1"/>
        </w:rPr>
        <w:t xml:space="preserve"> </w:t>
      </w:r>
    </w:p>
    <w:p w14:paraId="3A27A583" w14:textId="77777777" w:rsidR="00707881" w:rsidRPr="00707881" w:rsidRDefault="00707881" w:rsidP="00707881"/>
    <w:p w14:paraId="3F64D90C" w14:textId="77777777" w:rsidR="00707881" w:rsidRDefault="00707881" w:rsidP="00707881">
      <w:pPr>
        <w:pStyle w:val="Heading5"/>
        <w:rPr>
          <w:rFonts w:hint="eastAsia"/>
          <w:sz w:val="24"/>
          <w:szCs w:val="24"/>
        </w:rPr>
      </w:pPr>
      <w:r>
        <w:rPr>
          <w:sz w:val="24"/>
          <w:szCs w:val="24"/>
        </w:rPr>
        <w:t>What should the government do to boost employment and wages growth</w:t>
      </w:r>
    </w:p>
    <w:p w14:paraId="1AE76566" w14:textId="1EACB034" w:rsidR="00707881" w:rsidRDefault="00E863FE" w:rsidP="00E863FE">
      <w:r>
        <w:rPr>
          <w:noProof/>
        </w:rPr>
        <w:drawing>
          <wp:anchor distT="0" distB="0" distL="114300" distR="114300" simplePos="0" relativeHeight="251658254" behindDoc="0" locked="0" layoutInCell="1" allowOverlap="1" wp14:anchorId="1E18DAF7" wp14:editId="114EE813">
            <wp:simplePos x="0" y="0"/>
            <wp:positionH relativeFrom="margin">
              <wp:align>center</wp:align>
            </wp:positionH>
            <wp:positionV relativeFrom="paragraph">
              <wp:posOffset>352425</wp:posOffset>
            </wp:positionV>
            <wp:extent cx="6819900" cy="4676775"/>
            <wp:effectExtent l="0" t="0" r="0" b="0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14951" w14:textId="4B2790F6" w:rsidR="00707881" w:rsidRDefault="00707881" w:rsidP="00707881"/>
    <w:p w14:paraId="3C4BB4D3" w14:textId="7F009EB4" w:rsidR="008A7C4A" w:rsidRDefault="001A025B" w:rsidP="008A7C4A">
      <w:r>
        <w:t>Reducing regulatory burden was t</w:t>
      </w:r>
      <w:r w:rsidR="004E14B3">
        <w:t xml:space="preserve">he top response </w:t>
      </w:r>
      <w:r w:rsidR="00E1323D">
        <w:t xml:space="preserve">for what </w:t>
      </w:r>
      <w:r w:rsidR="00E45EC6">
        <w:t xml:space="preserve">businesses </w:t>
      </w:r>
      <w:r w:rsidR="00C62A7C">
        <w:t>believe</w:t>
      </w:r>
      <w:r w:rsidR="00E45EC6">
        <w:t xml:space="preserve"> the government should be doing </w:t>
      </w:r>
      <w:r w:rsidR="00F75003">
        <w:t xml:space="preserve">to boost employment and wages growth, with more than three quarters </w:t>
      </w:r>
      <w:r w:rsidR="00166C5D">
        <w:t xml:space="preserve">(77%) agreeing. </w:t>
      </w:r>
      <w:r w:rsidR="00961FAB">
        <w:t xml:space="preserve">Simplifying awards </w:t>
      </w:r>
      <w:r w:rsidR="00B344E1">
        <w:t xml:space="preserve">(65%) and </w:t>
      </w:r>
      <w:r w:rsidR="000F3F91">
        <w:t>lower</w:t>
      </w:r>
      <w:r>
        <w:t>ing</w:t>
      </w:r>
      <w:r w:rsidR="000F3F91">
        <w:t xml:space="preserve"> taxes (54%) </w:t>
      </w:r>
      <w:r w:rsidR="00327FCF">
        <w:t xml:space="preserve">were also identified by </w:t>
      </w:r>
      <w:proofErr w:type="gramStart"/>
      <w:r w:rsidR="00327FCF">
        <w:t>a majority of</w:t>
      </w:r>
      <w:proofErr w:type="gramEnd"/>
      <w:r w:rsidR="00327FCF">
        <w:t xml:space="preserve"> respondents. </w:t>
      </w:r>
    </w:p>
    <w:p w14:paraId="5247A3A5" w14:textId="42279508" w:rsidR="008A7C4A" w:rsidRDefault="005033D6" w:rsidP="008A7C4A">
      <w:r>
        <w:t xml:space="preserve">Small businesses </w:t>
      </w:r>
      <w:r w:rsidR="00991E61">
        <w:t xml:space="preserve">in particular think the government should be doing more, </w:t>
      </w:r>
      <w:r w:rsidR="00965C54">
        <w:t xml:space="preserve">with a greater proportion </w:t>
      </w:r>
      <w:r w:rsidR="00750DDA">
        <w:t>identifying</w:t>
      </w:r>
      <w:r w:rsidR="00965C54">
        <w:t xml:space="preserve"> </w:t>
      </w:r>
      <w:r w:rsidR="00A33717">
        <w:t xml:space="preserve">reducing regulatory burden (80%), </w:t>
      </w:r>
      <w:r w:rsidR="00B96DE8">
        <w:t>simplifying awards (73%</w:t>
      </w:r>
      <w:proofErr w:type="gramStart"/>
      <w:r w:rsidR="00B96DE8">
        <w:t>)</w:t>
      </w:r>
      <w:proofErr w:type="gramEnd"/>
      <w:r w:rsidR="00B96DE8">
        <w:t xml:space="preserve"> and lowering taxes (</w:t>
      </w:r>
      <w:r w:rsidR="00BB086B">
        <w:t xml:space="preserve">68%) as </w:t>
      </w:r>
      <w:r w:rsidR="007D762D">
        <w:t xml:space="preserve">actions the government should be taking. </w:t>
      </w:r>
    </w:p>
    <w:p w14:paraId="691DF8DF" w14:textId="7E335353" w:rsidR="008A7C4A" w:rsidRPr="008A7C4A" w:rsidRDefault="00360D44" w:rsidP="008A7C4A">
      <w:r>
        <w:t>Many of those selecting ‘Other’</w:t>
      </w:r>
      <w:r w:rsidR="00117124">
        <w:t xml:space="preserve"> nominated reducing payroll tax</w:t>
      </w:r>
      <w:r w:rsidR="00720FEC">
        <w:t xml:space="preserve"> as a key opportunity. </w:t>
      </w:r>
    </w:p>
    <w:sectPr w:rsidR="008A7C4A" w:rsidRPr="008A7C4A" w:rsidSect="005E21B3">
      <w:headerReference w:type="default" r:id="rId27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85F0" w14:textId="77777777" w:rsidR="00F545F4" w:rsidRDefault="00F545F4" w:rsidP="0022306A">
      <w:pPr>
        <w:spacing w:after="0" w:line="240" w:lineRule="auto"/>
      </w:pPr>
      <w:r>
        <w:separator/>
      </w:r>
    </w:p>
  </w:endnote>
  <w:endnote w:type="continuationSeparator" w:id="0">
    <w:p w14:paraId="5D846712" w14:textId="77777777" w:rsidR="00F545F4" w:rsidRDefault="00F545F4" w:rsidP="0022306A">
      <w:pPr>
        <w:spacing w:after="0" w:line="240" w:lineRule="auto"/>
      </w:pPr>
      <w:r>
        <w:continuationSeparator/>
      </w:r>
    </w:p>
  </w:endnote>
  <w:endnote w:type="continuationNotice" w:id="1">
    <w:p w14:paraId="489C86F7" w14:textId="77777777" w:rsidR="00F545F4" w:rsidRDefault="00F54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2FE9" w14:textId="77777777" w:rsidR="00F545F4" w:rsidRDefault="00F545F4" w:rsidP="0022306A">
      <w:pPr>
        <w:spacing w:after="0" w:line="240" w:lineRule="auto"/>
      </w:pPr>
      <w:r>
        <w:separator/>
      </w:r>
    </w:p>
  </w:footnote>
  <w:footnote w:type="continuationSeparator" w:id="0">
    <w:p w14:paraId="12B985DC" w14:textId="77777777" w:rsidR="00F545F4" w:rsidRDefault="00F545F4" w:rsidP="0022306A">
      <w:pPr>
        <w:spacing w:after="0" w:line="240" w:lineRule="auto"/>
      </w:pPr>
      <w:r>
        <w:continuationSeparator/>
      </w:r>
    </w:p>
  </w:footnote>
  <w:footnote w:type="continuationNotice" w:id="1">
    <w:p w14:paraId="2A680A47" w14:textId="77777777" w:rsidR="00F545F4" w:rsidRDefault="00F545F4">
      <w:pPr>
        <w:spacing w:after="0" w:line="240" w:lineRule="auto"/>
      </w:pPr>
    </w:p>
  </w:footnote>
  <w:footnote w:id="2">
    <w:p w14:paraId="6A5566BD" w14:textId="4C3C3765" w:rsidR="00DB2704" w:rsidRPr="007B0140" w:rsidRDefault="00DB2704">
      <w:pPr>
        <w:pStyle w:val="FootnoteText"/>
        <w:rPr>
          <w:sz w:val="16"/>
          <w:szCs w:val="16"/>
          <w:lang w:val="en-US"/>
        </w:rPr>
      </w:pPr>
      <w:r w:rsidRPr="007B0140">
        <w:rPr>
          <w:rStyle w:val="FootnoteReference"/>
          <w:sz w:val="16"/>
          <w:szCs w:val="16"/>
        </w:rPr>
        <w:footnoteRef/>
      </w:r>
      <w:r w:rsidRPr="007B0140">
        <w:rPr>
          <w:sz w:val="16"/>
          <w:szCs w:val="16"/>
        </w:rPr>
        <w:t xml:space="preserve"> </w:t>
      </w:r>
      <w:r w:rsidR="00BD320C" w:rsidRPr="007B0140">
        <w:rPr>
          <w:sz w:val="16"/>
          <w:szCs w:val="16"/>
        </w:rPr>
        <w:t xml:space="preserve">Estimate </w:t>
      </w:r>
      <w:r w:rsidR="00842BE3" w:rsidRPr="007B0140">
        <w:rPr>
          <w:sz w:val="16"/>
          <w:szCs w:val="16"/>
        </w:rPr>
        <w:t xml:space="preserve">calculated </w:t>
      </w:r>
      <w:r w:rsidR="009972C0" w:rsidRPr="007B0140">
        <w:rPr>
          <w:sz w:val="16"/>
          <w:szCs w:val="16"/>
        </w:rPr>
        <w:t xml:space="preserve">using </w:t>
      </w:r>
      <w:r w:rsidR="00D625A1" w:rsidRPr="007B0140">
        <w:rPr>
          <w:sz w:val="16"/>
          <w:szCs w:val="16"/>
        </w:rPr>
        <w:t xml:space="preserve">the proportion of respondents </w:t>
      </w:r>
      <w:r w:rsidR="00112E26" w:rsidRPr="007B0140">
        <w:rPr>
          <w:sz w:val="16"/>
          <w:szCs w:val="16"/>
        </w:rPr>
        <w:t xml:space="preserve">who </w:t>
      </w:r>
      <w:r w:rsidR="00D96469" w:rsidRPr="007B0140">
        <w:rPr>
          <w:sz w:val="16"/>
          <w:szCs w:val="16"/>
        </w:rPr>
        <w:t>indicat</w:t>
      </w:r>
      <w:r w:rsidR="00112E26" w:rsidRPr="007B0140">
        <w:rPr>
          <w:sz w:val="16"/>
          <w:szCs w:val="16"/>
        </w:rPr>
        <w:t>ed</w:t>
      </w:r>
      <w:r w:rsidR="00D96469" w:rsidRPr="007B0140">
        <w:rPr>
          <w:sz w:val="16"/>
          <w:szCs w:val="16"/>
        </w:rPr>
        <w:t xml:space="preserve"> </w:t>
      </w:r>
      <w:r w:rsidR="00AF409B" w:rsidRPr="007B0140">
        <w:rPr>
          <w:sz w:val="16"/>
          <w:szCs w:val="16"/>
        </w:rPr>
        <w:t>they would be ‘extremely damaged</w:t>
      </w:r>
      <w:r w:rsidR="00AD2E16" w:rsidRPr="007B0140">
        <w:rPr>
          <w:sz w:val="16"/>
          <w:szCs w:val="16"/>
        </w:rPr>
        <w:t xml:space="preserve">’ by </w:t>
      </w:r>
      <w:r w:rsidR="001E2CE3">
        <w:rPr>
          <w:sz w:val="16"/>
          <w:szCs w:val="16"/>
        </w:rPr>
        <w:t>this part of the legislation</w:t>
      </w:r>
      <w:r w:rsidR="00F54838" w:rsidRPr="007B0140">
        <w:rPr>
          <w:sz w:val="16"/>
          <w:szCs w:val="16"/>
        </w:rPr>
        <w:t xml:space="preserve"> multiplied by </w:t>
      </w:r>
      <w:r w:rsidR="00173A6D">
        <w:rPr>
          <w:sz w:val="16"/>
          <w:szCs w:val="16"/>
        </w:rPr>
        <w:t>employing</w:t>
      </w:r>
      <w:r w:rsidR="00F54838" w:rsidRPr="007B0140">
        <w:rPr>
          <w:sz w:val="16"/>
          <w:szCs w:val="16"/>
        </w:rPr>
        <w:t xml:space="preserve"> </w:t>
      </w:r>
      <w:r w:rsidR="007C7C77" w:rsidRPr="007B0140">
        <w:rPr>
          <w:sz w:val="16"/>
          <w:szCs w:val="16"/>
        </w:rPr>
        <w:t xml:space="preserve">business count data from the </w:t>
      </w:r>
      <w:r w:rsidR="009972C0" w:rsidRPr="007B0140">
        <w:rPr>
          <w:sz w:val="16"/>
          <w:szCs w:val="16"/>
        </w:rPr>
        <w:t>A</w:t>
      </w:r>
      <w:r w:rsidR="00B60047" w:rsidRPr="007B0140">
        <w:rPr>
          <w:sz w:val="16"/>
          <w:szCs w:val="16"/>
        </w:rPr>
        <w:t xml:space="preserve">ustralian </w:t>
      </w:r>
      <w:r w:rsidR="009972C0" w:rsidRPr="007B0140">
        <w:rPr>
          <w:sz w:val="16"/>
          <w:szCs w:val="16"/>
        </w:rPr>
        <w:t>B</w:t>
      </w:r>
      <w:r w:rsidR="00B60047" w:rsidRPr="007B0140">
        <w:rPr>
          <w:sz w:val="16"/>
          <w:szCs w:val="16"/>
        </w:rPr>
        <w:t xml:space="preserve">ureau of </w:t>
      </w:r>
      <w:r w:rsidR="009972C0" w:rsidRPr="007B0140">
        <w:rPr>
          <w:sz w:val="16"/>
          <w:szCs w:val="16"/>
        </w:rPr>
        <w:t>S</w:t>
      </w:r>
      <w:r w:rsidR="00B60047" w:rsidRPr="007B0140">
        <w:rPr>
          <w:sz w:val="16"/>
          <w:szCs w:val="16"/>
        </w:rPr>
        <w:t>tatistics</w:t>
      </w:r>
      <w:r w:rsidR="007C7C77" w:rsidRPr="007B0140">
        <w:rPr>
          <w:sz w:val="16"/>
          <w:szCs w:val="16"/>
        </w:rPr>
        <w:t xml:space="preserve">. </w:t>
      </w:r>
      <w:r w:rsidR="0062154D" w:rsidRPr="007B0140">
        <w:rPr>
          <w:sz w:val="16"/>
          <w:szCs w:val="16"/>
        </w:rPr>
        <w:t xml:space="preserve">This was then multiplied by the proportion of </w:t>
      </w:r>
      <w:r w:rsidR="00410E36" w:rsidRPr="007B0140">
        <w:rPr>
          <w:sz w:val="16"/>
          <w:szCs w:val="16"/>
        </w:rPr>
        <w:t>businesses who</w:t>
      </w:r>
      <w:r w:rsidR="009972C0" w:rsidRPr="007B0140">
        <w:rPr>
          <w:sz w:val="16"/>
          <w:szCs w:val="16"/>
        </w:rPr>
        <w:t xml:space="preserve"> </w:t>
      </w:r>
      <w:r w:rsidR="00385A56" w:rsidRPr="007B0140">
        <w:rPr>
          <w:sz w:val="16"/>
          <w:szCs w:val="16"/>
        </w:rPr>
        <w:t>indicated they would employ fewer staff</w:t>
      </w:r>
      <w:r w:rsidR="009972C0" w:rsidRPr="007B0140">
        <w:rPr>
          <w:sz w:val="16"/>
          <w:szCs w:val="16"/>
        </w:rPr>
        <w:t xml:space="preserve"> </w:t>
      </w:r>
      <w:r w:rsidR="00910042" w:rsidRPr="007B0140">
        <w:rPr>
          <w:sz w:val="16"/>
          <w:szCs w:val="16"/>
        </w:rPr>
        <w:t>due to</w:t>
      </w:r>
      <w:r w:rsidR="00112E26" w:rsidRPr="007B0140">
        <w:rPr>
          <w:sz w:val="16"/>
          <w:szCs w:val="16"/>
        </w:rPr>
        <w:t xml:space="preserve"> </w:t>
      </w:r>
      <w:r w:rsidR="001E2CE3">
        <w:rPr>
          <w:sz w:val="16"/>
          <w:szCs w:val="16"/>
        </w:rPr>
        <w:t>the chang</w:t>
      </w:r>
      <w:r w:rsidR="00336A0C">
        <w:rPr>
          <w:sz w:val="16"/>
          <w:szCs w:val="16"/>
        </w:rPr>
        <w:t>e in legislation</w:t>
      </w:r>
      <w:r w:rsidR="007B0140" w:rsidRPr="007B0140">
        <w:rPr>
          <w:sz w:val="16"/>
          <w:szCs w:val="16"/>
        </w:rPr>
        <w:t xml:space="preserve"> (of those who would be ‘extremely damaged’)</w:t>
      </w:r>
      <w:r w:rsidR="006129AB" w:rsidRPr="007B0140">
        <w:rPr>
          <w:sz w:val="16"/>
          <w:szCs w:val="16"/>
        </w:rPr>
        <w:t xml:space="preserve">. </w:t>
      </w:r>
      <w:r w:rsidR="002716D4">
        <w:rPr>
          <w:sz w:val="16"/>
          <w:szCs w:val="16"/>
        </w:rPr>
        <w:t xml:space="preserve">We note </w:t>
      </w:r>
      <w:r w:rsidR="001E2CE3">
        <w:rPr>
          <w:sz w:val="16"/>
          <w:szCs w:val="16"/>
        </w:rPr>
        <w:t>we have been</w:t>
      </w:r>
      <w:r w:rsidR="002716D4">
        <w:rPr>
          <w:sz w:val="16"/>
          <w:szCs w:val="16"/>
        </w:rPr>
        <w:t xml:space="preserve"> conservative </w:t>
      </w:r>
      <w:r w:rsidR="001E2CE3">
        <w:rPr>
          <w:sz w:val="16"/>
          <w:szCs w:val="16"/>
        </w:rPr>
        <w:t xml:space="preserve">in our assumptions.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8587" w14:textId="2BEFB4C6" w:rsidR="008209F2" w:rsidRDefault="008209F2">
    <w:pPr>
      <w:pStyle w:val="Header"/>
    </w:pPr>
    <w:r w:rsidRPr="0091534B">
      <w:rPr>
        <w:rFonts w:ascii="Open Sans" w:eastAsia="Calibri" w:hAnsi="Open Sans" w:cs="Open Sans"/>
        <w:noProof/>
        <w:color w:val="767171"/>
        <w:sz w:val="36"/>
        <w:szCs w:val="36"/>
        <w:lang w:eastAsia="en-AU"/>
      </w:rPr>
      <w:drawing>
        <wp:anchor distT="0" distB="0" distL="114300" distR="114300" simplePos="0" relativeHeight="251658241" behindDoc="1" locked="0" layoutInCell="1" allowOverlap="1" wp14:anchorId="25F6E5E0" wp14:editId="245F5612">
          <wp:simplePos x="0" y="0"/>
          <wp:positionH relativeFrom="column">
            <wp:posOffset>5296395</wp:posOffset>
          </wp:positionH>
          <wp:positionV relativeFrom="paragraph">
            <wp:posOffset>-155014</wp:posOffset>
          </wp:positionV>
          <wp:extent cx="801624" cy="1075944"/>
          <wp:effectExtent l="0" t="0" r="952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IWA LETTERHEAD FOLL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24" cy="1075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C9BF" w14:textId="77777777" w:rsidR="00A3658B" w:rsidRDefault="00A3658B">
    <w:pPr>
      <w:pStyle w:val="Header"/>
    </w:pPr>
    <w:r w:rsidRPr="0091534B">
      <w:rPr>
        <w:rFonts w:ascii="Open Sans" w:eastAsia="Calibri" w:hAnsi="Open Sans" w:cs="Open Sans"/>
        <w:noProof/>
        <w:color w:val="767171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06749741" wp14:editId="36E3DD4E">
          <wp:simplePos x="0" y="0"/>
          <wp:positionH relativeFrom="rightMargin">
            <wp:posOffset>-362607</wp:posOffset>
          </wp:positionH>
          <wp:positionV relativeFrom="paragraph">
            <wp:posOffset>-248986</wp:posOffset>
          </wp:positionV>
          <wp:extent cx="801624" cy="1075944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IWA LETTERHEAD FOLL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24" cy="1075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658B"/>
    <w:multiLevelType w:val="hybridMultilevel"/>
    <w:tmpl w:val="6212A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73CCD"/>
    <w:multiLevelType w:val="hybridMultilevel"/>
    <w:tmpl w:val="94E80948"/>
    <w:lvl w:ilvl="0" w:tplc="A05EC658">
      <w:start w:val="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21838">
    <w:abstractNumId w:val="0"/>
  </w:num>
  <w:num w:numId="2" w16cid:durableId="49522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6A"/>
    <w:rsid w:val="00000A47"/>
    <w:rsid w:val="0000123E"/>
    <w:rsid w:val="000018EA"/>
    <w:rsid w:val="00001CBD"/>
    <w:rsid w:val="00006564"/>
    <w:rsid w:val="0000725B"/>
    <w:rsid w:val="00007335"/>
    <w:rsid w:val="0001070F"/>
    <w:rsid w:val="0001119D"/>
    <w:rsid w:val="00011713"/>
    <w:rsid w:val="00011DDA"/>
    <w:rsid w:val="000123B1"/>
    <w:rsid w:val="00012F0D"/>
    <w:rsid w:val="0001475A"/>
    <w:rsid w:val="00014AF0"/>
    <w:rsid w:val="00015E4B"/>
    <w:rsid w:val="00016634"/>
    <w:rsid w:val="00016F54"/>
    <w:rsid w:val="0001742C"/>
    <w:rsid w:val="000206F5"/>
    <w:rsid w:val="00021858"/>
    <w:rsid w:val="00021DE5"/>
    <w:rsid w:val="00023B05"/>
    <w:rsid w:val="00025221"/>
    <w:rsid w:val="00026C07"/>
    <w:rsid w:val="00030655"/>
    <w:rsid w:val="00030751"/>
    <w:rsid w:val="00032B39"/>
    <w:rsid w:val="00034F0B"/>
    <w:rsid w:val="00034F12"/>
    <w:rsid w:val="00035261"/>
    <w:rsid w:val="0003745E"/>
    <w:rsid w:val="00040B61"/>
    <w:rsid w:val="0004418E"/>
    <w:rsid w:val="00044E34"/>
    <w:rsid w:val="00044FB9"/>
    <w:rsid w:val="00045E5C"/>
    <w:rsid w:val="00046349"/>
    <w:rsid w:val="00047B65"/>
    <w:rsid w:val="0005079E"/>
    <w:rsid w:val="000516EE"/>
    <w:rsid w:val="0005199F"/>
    <w:rsid w:val="0005347E"/>
    <w:rsid w:val="00053E0B"/>
    <w:rsid w:val="000540A5"/>
    <w:rsid w:val="0005622B"/>
    <w:rsid w:val="00061137"/>
    <w:rsid w:val="000618C8"/>
    <w:rsid w:val="00061905"/>
    <w:rsid w:val="000621DE"/>
    <w:rsid w:val="00063FFF"/>
    <w:rsid w:val="00064846"/>
    <w:rsid w:val="00064AF3"/>
    <w:rsid w:val="00065B22"/>
    <w:rsid w:val="00065EAC"/>
    <w:rsid w:val="000665DC"/>
    <w:rsid w:val="00067B29"/>
    <w:rsid w:val="00070130"/>
    <w:rsid w:val="0007055D"/>
    <w:rsid w:val="00071F9C"/>
    <w:rsid w:val="00072411"/>
    <w:rsid w:val="00073061"/>
    <w:rsid w:val="000736EE"/>
    <w:rsid w:val="00074B0E"/>
    <w:rsid w:val="00075489"/>
    <w:rsid w:val="00076AE8"/>
    <w:rsid w:val="00077064"/>
    <w:rsid w:val="000779F9"/>
    <w:rsid w:val="00080DAD"/>
    <w:rsid w:val="000815CC"/>
    <w:rsid w:val="000817A2"/>
    <w:rsid w:val="00081B88"/>
    <w:rsid w:val="00081E5C"/>
    <w:rsid w:val="00082846"/>
    <w:rsid w:val="00083223"/>
    <w:rsid w:val="00083E69"/>
    <w:rsid w:val="000858D2"/>
    <w:rsid w:val="00086AD3"/>
    <w:rsid w:val="00087E4C"/>
    <w:rsid w:val="000900BF"/>
    <w:rsid w:val="000906E5"/>
    <w:rsid w:val="00093943"/>
    <w:rsid w:val="00093B41"/>
    <w:rsid w:val="00093FD0"/>
    <w:rsid w:val="00094DCA"/>
    <w:rsid w:val="00096DE2"/>
    <w:rsid w:val="000979A7"/>
    <w:rsid w:val="000A0B70"/>
    <w:rsid w:val="000A1BBA"/>
    <w:rsid w:val="000A2E08"/>
    <w:rsid w:val="000A4A87"/>
    <w:rsid w:val="000A628C"/>
    <w:rsid w:val="000B0A9F"/>
    <w:rsid w:val="000B1626"/>
    <w:rsid w:val="000B1CB0"/>
    <w:rsid w:val="000B5465"/>
    <w:rsid w:val="000B5834"/>
    <w:rsid w:val="000B5D14"/>
    <w:rsid w:val="000B6BD7"/>
    <w:rsid w:val="000C3A59"/>
    <w:rsid w:val="000C42E2"/>
    <w:rsid w:val="000C4860"/>
    <w:rsid w:val="000C7C93"/>
    <w:rsid w:val="000D34C2"/>
    <w:rsid w:val="000D489C"/>
    <w:rsid w:val="000D7526"/>
    <w:rsid w:val="000D7F0B"/>
    <w:rsid w:val="000E14A9"/>
    <w:rsid w:val="000E2C50"/>
    <w:rsid w:val="000E2DCD"/>
    <w:rsid w:val="000E43E3"/>
    <w:rsid w:val="000F0CFC"/>
    <w:rsid w:val="000F34EA"/>
    <w:rsid w:val="000F3C05"/>
    <w:rsid w:val="000F3F91"/>
    <w:rsid w:val="000F3FD2"/>
    <w:rsid w:val="000F486F"/>
    <w:rsid w:val="000F5198"/>
    <w:rsid w:val="000F5330"/>
    <w:rsid w:val="000F702C"/>
    <w:rsid w:val="000F72BE"/>
    <w:rsid w:val="001000AD"/>
    <w:rsid w:val="00100183"/>
    <w:rsid w:val="00100706"/>
    <w:rsid w:val="00100896"/>
    <w:rsid w:val="001009E4"/>
    <w:rsid w:val="00100C7F"/>
    <w:rsid w:val="00102C1F"/>
    <w:rsid w:val="00102D9F"/>
    <w:rsid w:val="00103440"/>
    <w:rsid w:val="00103698"/>
    <w:rsid w:val="00103840"/>
    <w:rsid w:val="00104A86"/>
    <w:rsid w:val="00104D5E"/>
    <w:rsid w:val="0010666E"/>
    <w:rsid w:val="00106D1D"/>
    <w:rsid w:val="001071B3"/>
    <w:rsid w:val="00111251"/>
    <w:rsid w:val="00111C43"/>
    <w:rsid w:val="00112E26"/>
    <w:rsid w:val="00113CF6"/>
    <w:rsid w:val="0011500E"/>
    <w:rsid w:val="00115533"/>
    <w:rsid w:val="00115BF3"/>
    <w:rsid w:val="00115EAE"/>
    <w:rsid w:val="0011647E"/>
    <w:rsid w:val="00117124"/>
    <w:rsid w:val="001202BB"/>
    <w:rsid w:val="00120F2A"/>
    <w:rsid w:val="001212EF"/>
    <w:rsid w:val="00122073"/>
    <w:rsid w:val="001300FB"/>
    <w:rsid w:val="001303D6"/>
    <w:rsid w:val="001305B8"/>
    <w:rsid w:val="0013087C"/>
    <w:rsid w:val="0013143E"/>
    <w:rsid w:val="00132775"/>
    <w:rsid w:val="00133500"/>
    <w:rsid w:val="001346D4"/>
    <w:rsid w:val="00134C35"/>
    <w:rsid w:val="00135C8E"/>
    <w:rsid w:val="001366ED"/>
    <w:rsid w:val="00136969"/>
    <w:rsid w:val="001375EF"/>
    <w:rsid w:val="00141F5F"/>
    <w:rsid w:val="00143AF3"/>
    <w:rsid w:val="001448A6"/>
    <w:rsid w:val="0014585C"/>
    <w:rsid w:val="001475DA"/>
    <w:rsid w:val="0015040B"/>
    <w:rsid w:val="001509B3"/>
    <w:rsid w:val="001512C6"/>
    <w:rsid w:val="00151855"/>
    <w:rsid w:val="00152693"/>
    <w:rsid w:val="00152B2C"/>
    <w:rsid w:val="00152C6D"/>
    <w:rsid w:val="00152E88"/>
    <w:rsid w:val="0015395C"/>
    <w:rsid w:val="0015702F"/>
    <w:rsid w:val="00160CDF"/>
    <w:rsid w:val="00161D03"/>
    <w:rsid w:val="001624A8"/>
    <w:rsid w:val="0016329B"/>
    <w:rsid w:val="001635E3"/>
    <w:rsid w:val="001667F4"/>
    <w:rsid w:val="00166C5D"/>
    <w:rsid w:val="00167B04"/>
    <w:rsid w:val="001702CB"/>
    <w:rsid w:val="0017080E"/>
    <w:rsid w:val="0017108C"/>
    <w:rsid w:val="001718FD"/>
    <w:rsid w:val="00173A6D"/>
    <w:rsid w:val="00174F7D"/>
    <w:rsid w:val="00175C7A"/>
    <w:rsid w:val="00176A4E"/>
    <w:rsid w:val="00176FC0"/>
    <w:rsid w:val="00177440"/>
    <w:rsid w:val="001778A4"/>
    <w:rsid w:val="00177B53"/>
    <w:rsid w:val="00177CA3"/>
    <w:rsid w:val="00180BDE"/>
    <w:rsid w:val="00181833"/>
    <w:rsid w:val="00181A7E"/>
    <w:rsid w:val="00181CED"/>
    <w:rsid w:val="00185331"/>
    <w:rsid w:val="00185633"/>
    <w:rsid w:val="00185982"/>
    <w:rsid w:val="0018648B"/>
    <w:rsid w:val="00186DBA"/>
    <w:rsid w:val="0018750F"/>
    <w:rsid w:val="001909AD"/>
    <w:rsid w:val="00190A3C"/>
    <w:rsid w:val="00192835"/>
    <w:rsid w:val="0019412F"/>
    <w:rsid w:val="00194A30"/>
    <w:rsid w:val="0019505E"/>
    <w:rsid w:val="00196B36"/>
    <w:rsid w:val="001A025B"/>
    <w:rsid w:val="001A22D2"/>
    <w:rsid w:val="001A2415"/>
    <w:rsid w:val="001A303E"/>
    <w:rsid w:val="001A354A"/>
    <w:rsid w:val="001A3C3B"/>
    <w:rsid w:val="001A54ED"/>
    <w:rsid w:val="001A5A8F"/>
    <w:rsid w:val="001B016A"/>
    <w:rsid w:val="001B0519"/>
    <w:rsid w:val="001B07FE"/>
    <w:rsid w:val="001B0FD5"/>
    <w:rsid w:val="001B160E"/>
    <w:rsid w:val="001B2335"/>
    <w:rsid w:val="001B3615"/>
    <w:rsid w:val="001B38FC"/>
    <w:rsid w:val="001B4457"/>
    <w:rsid w:val="001B4C49"/>
    <w:rsid w:val="001B682C"/>
    <w:rsid w:val="001B737D"/>
    <w:rsid w:val="001C01F1"/>
    <w:rsid w:val="001C028C"/>
    <w:rsid w:val="001C1DE2"/>
    <w:rsid w:val="001C214E"/>
    <w:rsid w:val="001C2CC3"/>
    <w:rsid w:val="001C2D53"/>
    <w:rsid w:val="001C55AD"/>
    <w:rsid w:val="001C6418"/>
    <w:rsid w:val="001C6CE5"/>
    <w:rsid w:val="001C7E6E"/>
    <w:rsid w:val="001D27B1"/>
    <w:rsid w:val="001D3013"/>
    <w:rsid w:val="001D344A"/>
    <w:rsid w:val="001D5AB2"/>
    <w:rsid w:val="001D5F5F"/>
    <w:rsid w:val="001D611F"/>
    <w:rsid w:val="001E166B"/>
    <w:rsid w:val="001E2CE3"/>
    <w:rsid w:val="001E42A5"/>
    <w:rsid w:val="001E5F38"/>
    <w:rsid w:val="001F032E"/>
    <w:rsid w:val="001F58A3"/>
    <w:rsid w:val="001F5993"/>
    <w:rsid w:val="001F5D62"/>
    <w:rsid w:val="001F7BA4"/>
    <w:rsid w:val="00200C16"/>
    <w:rsid w:val="00201053"/>
    <w:rsid w:val="0020343E"/>
    <w:rsid w:val="00203B6B"/>
    <w:rsid w:val="002048A2"/>
    <w:rsid w:val="00204B65"/>
    <w:rsid w:val="00204DC6"/>
    <w:rsid w:val="00205008"/>
    <w:rsid w:val="00206068"/>
    <w:rsid w:val="002065BE"/>
    <w:rsid w:val="00207A82"/>
    <w:rsid w:val="00210AC6"/>
    <w:rsid w:val="00210F1C"/>
    <w:rsid w:val="0021229A"/>
    <w:rsid w:val="00214912"/>
    <w:rsid w:val="00215933"/>
    <w:rsid w:val="00215B0C"/>
    <w:rsid w:val="00215BFB"/>
    <w:rsid w:val="00215CE4"/>
    <w:rsid w:val="00215CF2"/>
    <w:rsid w:val="002165F9"/>
    <w:rsid w:val="00216B08"/>
    <w:rsid w:val="002171EF"/>
    <w:rsid w:val="00217D77"/>
    <w:rsid w:val="00220918"/>
    <w:rsid w:val="0022135D"/>
    <w:rsid w:val="0022209B"/>
    <w:rsid w:val="0022306A"/>
    <w:rsid w:val="00223B4D"/>
    <w:rsid w:val="00224D6B"/>
    <w:rsid w:val="00226EDE"/>
    <w:rsid w:val="00227016"/>
    <w:rsid w:val="00227987"/>
    <w:rsid w:val="0023118E"/>
    <w:rsid w:val="00231886"/>
    <w:rsid w:val="0023575E"/>
    <w:rsid w:val="002358EB"/>
    <w:rsid w:val="00235D15"/>
    <w:rsid w:val="0023636C"/>
    <w:rsid w:val="00236CDC"/>
    <w:rsid w:val="00237036"/>
    <w:rsid w:val="00240FF9"/>
    <w:rsid w:val="0024161D"/>
    <w:rsid w:val="002452FC"/>
    <w:rsid w:val="00245860"/>
    <w:rsid w:val="00245F73"/>
    <w:rsid w:val="0024683F"/>
    <w:rsid w:val="0025068F"/>
    <w:rsid w:val="00251024"/>
    <w:rsid w:val="00255378"/>
    <w:rsid w:val="00257789"/>
    <w:rsid w:val="002607F1"/>
    <w:rsid w:val="002653C5"/>
    <w:rsid w:val="002668DF"/>
    <w:rsid w:val="00266911"/>
    <w:rsid w:val="00266EAF"/>
    <w:rsid w:val="0026704C"/>
    <w:rsid w:val="00270158"/>
    <w:rsid w:val="0027021A"/>
    <w:rsid w:val="002716D4"/>
    <w:rsid w:val="002725A6"/>
    <w:rsid w:val="002760DC"/>
    <w:rsid w:val="002766D3"/>
    <w:rsid w:val="00276CD7"/>
    <w:rsid w:val="00281054"/>
    <w:rsid w:val="002812EB"/>
    <w:rsid w:val="00282034"/>
    <w:rsid w:val="00282AAF"/>
    <w:rsid w:val="00286D19"/>
    <w:rsid w:val="0028737B"/>
    <w:rsid w:val="00290EC2"/>
    <w:rsid w:val="00291B03"/>
    <w:rsid w:val="00292429"/>
    <w:rsid w:val="00293C97"/>
    <w:rsid w:val="002A1719"/>
    <w:rsid w:val="002A36C5"/>
    <w:rsid w:val="002A47C3"/>
    <w:rsid w:val="002A5CB2"/>
    <w:rsid w:val="002A6E07"/>
    <w:rsid w:val="002A72F7"/>
    <w:rsid w:val="002A78A1"/>
    <w:rsid w:val="002A7B73"/>
    <w:rsid w:val="002B08FA"/>
    <w:rsid w:val="002B14CF"/>
    <w:rsid w:val="002B332C"/>
    <w:rsid w:val="002B35CD"/>
    <w:rsid w:val="002B3C77"/>
    <w:rsid w:val="002B599A"/>
    <w:rsid w:val="002B5AA8"/>
    <w:rsid w:val="002C1605"/>
    <w:rsid w:val="002C1A90"/>
    <w:rsid w:val="002C1B1D"/>
    <w:rsid w:val="002C22F8"/>
    <w:rsid w:val="002C4BF2"/>
    <w:rsid w:val="002C4EF8"/>
    <w:rsid w:val="002C6199"/>
    <w:rsid w:val="002C75CE"/>
    <w:rsid w:val="002D20AA"/>
    <w:rsid w:val="002D2309"/>
    <w:rsid w:val="002D2D06"/>
    <w:rsid w:val="002D35FA"/>
    <w:rsid w:val="002D3936"/>
    <w:rsid w:val="002D453F"/>
    <w:rsid w:val="002D49C0"/>
    <w:rsid w:val="002D5AD5"/>
    <w:rsid w:val="002D5F8F"/>
    <w:rsid w:val="002D7275"/>
    <w:rsid w:val="002D72BA"/>
    <w:rsid w:val="002D7440"/>
    <w:rsid w:val="002E0D5D"/>
    <w:rsid w:val="002E11B0"/>
    <w:rsid w:val="002E151B"/>
    <w:rsid w:val="002E15A5"/>
    <w:rsid w:val="002E1D6A"/>
    <w:rsid w:val="002E4B5B"/>
    <w:rsid w:val="002E6D52"/>
    <w:rsid w:val="002E6F51"/>
    <w:rsid w:val="002E7B5D"/>
    <w:rsid w:val="002F0FA5"/>
    <w:rsid w:val="002F171E"/>
    <w:rsid w:val="002F1FE3"/>
    <w:rsid w:val="002F3AA0"/>
    <w:rsid w:val="002F5414"/>
    <w:rsid w:val="002F65B6"/>
    <w:rsid w:val="002F6C7F"/>
    <w:rsid w:val="002F718C"/>
    <w:rsid w:val="00302205"/>
    <w:rsid w:val="0030230D"/>
    <w:rsid w:val="00302735"/>
    <w:rsid w:val="00306A40"/>
    <w:rsid w:val="00310968"/>
    <w:rsid w:val="00311742"/>
    <w:rsid w:val="00313DE6"/>
    <w:rsid w:val="00314EDB"/>
    <w:rsid w:val="003166A4"/>
    <w:rsid w:val="0032081C"/>
    <w:rsid w:val="00322045"/>
    <w:rsid w:val="003227DF"/>
    <w:rsid w:val="00322CF6"/>
    <w:rsid w:val="00323189"/>
    <w:rsid w:val="00323439"/>
    <w:rsid w:val="00323505"/>
    <w:rsid w:val="00324ACF"/>
    <w:rsid w:val="00324B30"/>
    <w:rsid w:val="00326202"/>
    <w:rsid w:val="00326AB0"/>
    <w:rsid w:val="00326E4E"/>
    <w:rsid w:val="00327FCF"/>
    <w:rsid w:val="00330917"/>
    <w:rsid w:val="00330BE2"/>
    <w:rsid w:val="00331FF6"/>
    <w:rsid w:val="003333A4"/>
    <w:rsid w:val="00333AFC"/>
    <w:rsid w:val="003347DB"/>
    <w:rsid w:val="00336A0C"/>
    <w:rsid w:val="00337EFF"/>
    <w:rsid w:val="0034151E"/>
    <w:rsid w:val="00341EF2"/>
    <w:rsid w:val="0034280C"/>
    <w:rsid w:val="003431AC"/>
    <w:rsid w:val="003432A8"/>
    <w:rsid w:val="00343488"/>
    <w:rsid w:val="003435BF"/>
    <w:rsid w:val="00346795"/>
    <w:rsid w:val="00347212"/>
    <w:rsid w:val="003474AA"/>
    <w:rsid w:val="0034789C"/>
    <w:rsid w:val="00347BDC"/>
    <w:rsid w:val="003505C0"/>
    <w:rsid w:val="003511D9"/>
    <w:rsid w:val="00351E6B"/>
    <w:rsid w:val="003557E1"/>
    <w:rsid w:val="00360CAA"/>
    <w:rsid w:val="00360D44"/>
    <w:rsid w:val="00364738"/>
    <w:rsid w:val="003664F0"/>
    <w:rsid w:val="00366DF8"/>
    <w:rsid w:val="00371B25"/>
    <w:rsid w:val="00371D29"/>
    <w:rsid w:val="003720B4"/>
    <w:rsid w:val="00372EC6"/>
    <w:rsid w:val="00372EE8"/>
    <w:rsid w:val="003730D5"/>
    <w:rsid w:val="00376B85"/>
    <w:rsid w:val="00380A1C"/>
    <w:rsid w:val="003822EC"/>
    <w:rsid w:val="003826E1"/>
    <w:rsid w:val="00383BF4"/>
    <w:rsid w:val="00385612"/>
    <w:rsid w:val="00385730"/>
    <w:rsid w:val="00385A56"/>
    <w:rsid w:val="00386538"/>
    <w:rsid w:val="00387347"/>
    <w:rsid w:val="00387D1C"/>
    <w:rsid w:val="00387EFE"/>
    <w:rsid w:val="00390187"/>
    <w:rsid w:val="00390EB7"/>
    <w:rsid w:val="003911B7"/>
    <w:rsid w:val="00391982"/>
    <w:rsid w:val="00391B5B"/>
    <w:rsid w:val="00392FB5"/>
    <w:rsid w:val="00393222"/>
    <w:rsid w:val="003949FA"/>
    <w:rsid w:val="00395BF7"/>
    <w:rsid w:val="003960A6"/>
    <w:rsid w:val="00396410"/>
    <w:rsid w:val="003A097D"/>
    <w:rsid w:val="003A29E9"/>
    <w:rsid w:val="003A33ED"/>
    <w:rsid w:val="003A3E79"/>
    <w:rsid w:val="003A622F"/>
    <w:rsid w:val="003A7767"/>
    <w:rsid w:val="003A7EAC"/>
    <w:rsid w:val="003B1BE9"/>
    <w:rsid w:val="003B2AE7"/>
    <w:rsid w:val="003B2EBC"/>
    <w:rsid w:val="003B40DA"/>
    <w:rsid w:val="003B4C39"/>
    <w:rsid w:val="003B4E29"/>
    <w:rsid w:val="003B5961"/>
    <w:rsid w:val="003B7FBD"/>
    <w:rsid w:val="003C3273"/>
    <w:rsid w:val="003C47D2"/>
    <w:rsid w:val="003C4933"/>
    <w:rsid w:val="003C67A9"/>
    <w:rsid w:val="003C7499"/>
    <w:rsid w:val="003D026B"/>
    <w:rsid w:val="003D1C18"/>
    <w:rsid w:val="003D3479"/>
    <w:rsid w:val="003D3D3D"/>
    <w:rsid w:val="003D45B6"/>
    <w:rsid w:val="003D671F"/>
    <w:rsid w:val="003D69F4"/>
    <w:rsid w:val="003D6A29"/>
    <w:rsid w:val="003D6F2B"/>
    <w:rsid w:val="003D74BF"/>
    <w:rsid w:val="003D7A0B"/>
    <w:rsid w:val="003D7BE4"/>
    <w:rsid w:val="003E062F"/>
    <w:rsid w:val="003E094A"/>
    <w:rsid w:val="003E1EC8"/>
    <w:rsid w:val="003E5C35"/>
    <w:rsid w:val="003E604B"/>
    <w:rsid w:val="003E608C"/>
    <w:rsid w:val="003E7100"/>
    <w:rsid w:val="003E73B8"/>
    <w:rsid w:val="003E7DD3"/>
    <w:rsid w:val="003F022E"/>
    <w:rsid w:val="003F025B"/>
    <w:rsid w:val="003F0FD6"/>
    <w:rsid w:val="003F1335"/>
    <w:rsid w:val="003F1AB6"/>
    <w:rsid w:val="003F2887"/>
    <w:rsid w:val="003F29C1"/>
    <w:rsid w:val="003F2C1A"/>
    <w:rsid w:val="003F39FD"/>
    <w:rsid w:val="003F56E7"/>
    <w:rsid w:val="003F5D94"/>
    <w:rsid w:val="003F7652"/>
    <w:rsid w:val="003F7D78"/>
    <w:rsid w:val="004006F2"/>
    <w:rsid w:val="00401424"/>
    <w:rsid w:val="0040184D"/>
    <w:rsid w:val="004024A5"/>
    <w:rsid w:val="00402D3A"/>
    <w:rsid w:val="00404011"/>
    <w:rsid w:val="00405697"/>
    <w:rsid w:val="00405BC5"/>
    <w:rsid w:val="004073BA"/>
    <w:rsid w:val="00407F64"/>
    <w:rsid w:val="00410762"/>
    <w:rsid w:val="00410E36"/>
    <w:rsid w:val="0041322C"/>
    <w:rsid w:val="00414513"/>
    <w:rsid w:val="00415DAD"/>
    <w:rsid w:val="00415E04"/>
    <w:rsid w:val="0041604B"/>
    <w:rsid w:val="00416D9D"/>
    <w:rsid w:val="004202A3"/>
    <w:rsid w:val="004204F3"/>
    <w:rsid w:val="0042122C"/>
    <w:rsid w:val="00421288"/>
    <w:rsid w:val="0042156D"/>
    <w:rsid w:val="00422138"/>
    <w:rsid w:val="00422C52"/>
    <w:rsid w:val="00423249"/>
    <w:rsid w:val="00423711"/>
    <w:rsid w:val="0042391C"/>
    <w:rsid w:val="00424135"/>
    <w:rsid w:val="00424E60"/>
    <w:rsid w:val="00425D53"/>
    <w:rsid w:val="00427A6E"/>
    <w:rsid w:val="00430BC5"/>
    <w:rsid w:val="00431755"/>
    <w:rsid w:val="004342E0"/>
    <w:rsid w:val="00435F97"/>
    <w:rsid w:val="00435F9B"/>
    <w:rsid w:val="0043602B"/>
    <w:rsid w:val="0043621C"/>
    <w:rsid w:val="004367FC"/>
    <w:rsid w:val="00440FEB"/>
    <w:rsid w:val="004419D3"/>
    <w:rsid w:val="00441ED0"/>
    <w:rsid w:val="00442685"/>
    <w:rsid w:val="004440D1"/>
    <w:rsid w:val="00444457"/>
    <w:rsid w:val="004459CF"/>
    <w:rsid w:val="004469F7"/>
    <w:rsid w:val="00446AD7"/>
    <w:rsid w:val="004509EC"/>
    <w:rsid w:val="0045164E"/>
    <w:rsid w:val="00454093"/>
    <w:rsid w:val="00455A72"/>
    <w:rsid w:val="00457B7B"/>
    <w:rsid w:val="004612FA"/>
    <w:rsid w:val="00461C39"/>
    <w:rsid w:val="00461D45"/>
    <w:rsid w:val="004621A2"/>
    <w:rsid w:val="004627FE"/>
    <w:rsid w:val="00462AF6"/>
    <w:rsid w:val="004645DC"/>
    <w:rsid w:val="004647C6"/>
    <w:rsid w:val="00464E42"/>
    <w:rsid w:val="00465AC1"/>
    <w:rsid w:val="00466EE4"/>
    <w:rsid w:val="004671B0"/>
    <w:rsid w:val="00467A1F"/>
    <w:rsid w:val="00467F81"/>
    <w:rsid w:val="00471C4C"/>
    <w:rsid w:val="0047216F"/>
    <w:rsid w:val="00472B5C"/>
    <w:rsid w:val="00474A72"/>
    <w:rsid w:val="00474EF9"/>
    <w:rsid w:val="0047522F"/>
    <w:rsid w:val="004753FF"/>
    <w:rsid w:val="00476E97"/>
    <w:rsid w:val="004772E4"/>
    <w:rsid w:val="00480326"/>
    <w:rsid w:val="00480EF1"/>
    <w:rsid w:val="00482765"/>
    <w:rsid w:val="00482FE2"/>
    <w:rsid w:val="00483AF8"/>
    <w:rsid w:val="00484205"/>
    <w:rsid w:val="00484DC7"/>
    <w:rsid w:val="00485D1A"/>
    <w:rsid w:val="004865D0"/>
    <w:rsid w:val="00486FC5"/>
    <w:rsid w:val="00490A95"/>
    <w:rsid w:val="0049412C"/>
    <w:rsid w:val="00495569"/>
    <w:rsid w:val="004955DE"/>
    <w:rsid w:val="004965AE"/>
    <w:rsid w:val="00496C6E"/>
    <w:rsid w:val="00497807"/>
    <w:rsid w:val="004A0758"/>
    <w:rsid w:val="004A0CA4"/>
    <w:rsid w:val="004A0CC5"/>
    <w:rsid w:val="004A122B"/>
    <w:rsid w:val="004A341D"/>
    <w:rsid w:val="004A3A6E"/>
    <w:rsid w:val="004A3C60"/>
    <w:rsid w:val="004A4F1D"/>
    <w:rsid w:val="004A5F21"/>
    <w:rsid w:val="004A73A5"/>
    <w:rsid w:val="004B0160"/>
    <w:rsid w:val="004B01D2"/>
    <w:rsid w:val="004B349B"/>
    <w:rsid w:val="004B3726"/>
    <w:rsid w:val="004B37B9"/>
    <w:rsid w:val="004B4061"/>
    <w:rsid w:val="004B6502"/>
    <w:rsid w:val="004B701C"/>
    <w:rsid w:val="004B75A1"/>
    <w:rsid w:val="004C11BA"/>
    <w:rsid w:val="004C2190"/>
    <w:rsid w:val="004C3EB7"/>
    <w:rsid w:val="004C616E"/>
    <w:rsid w:val="004D0257"/>
    <w:rsid w:val="004D080A"/>
    <w:rsid w:val="004D182B"/>
    <w:rsid w:val="004D2921"/>
    <w:rsid w:val="004D5297"/>
    <w:rsid w:val="004D6B7C"/>
    <w:rsid w:val="004D7763"/>
    <w:rsid w:val="004D7D0D"/>
    <w:rsid w:val="004E081C"/>
    <w:rsid w:val="004E14B3"/>
    <w:rsid w:val="004E1570"/>
    <w:rsid w:val="004E1B07"/>
    <w:rsid w:val="004E2153"/>
    <w:rsid w:val="004E298A"/>
    <w:rsid w:val="004E3002"/>
    <w:rsid w:val="004E3A0A"/>
    <w:rsid w:val="004E53C9"/>
    <w:rsid w:val="004E5B6E"/>
    <w:rsid w:val="004E62C2"/>
    <w:rsid w:val="004E70D4"/>
    <w:rsid w:val="004F0A3E"/>
    <w:rsid w:val="004F1E73"/>
    <w:rsid w:val="004F1F0A"/>
    <w:rsid w:val="004F22E3"/>
    <w:rsid w:val="004F282B"/>
    <w:rsid w:val="004F3005"/>
    <w:rsid w:val="004F5742"/>
    <w:rsid w:val="004F5AF3"/>
    <w:rsid w:val="004F5CE5"/>
    <w:rsid w:val="004F7677"/>
    <w:rsid w:val="005003E4"/>
    <w:rsid w:val="0050313E"/>
    <w:rsid w:val="005033D6"/>
    <w:rsid w:val="005038B8"/>
    <w:rsid w:val="00504E47"/>
    <w:rsid w:val="0050547E"/>
    <w:rsid w:val="00505534"/>
    <w:rsid w:val="005061AC"/>
    <w:rsid w:val="00506A66"/>
    <w:rsid w:val="00510EDA"/>
    <w:rsid w:val="005126F9"/>
    <w:rsid w:val="00513272"/>
    <w:rsid w:val="0051647B"/>
    <w:rsid w:val="0051764C"/>
    <w:rsid w:val="00517B0F"/>
    <w:rsid w:val="00520104"/>
    <w:rsid w:val="00521036"/>
    <w:rsid w:val="00521EF9"/>
    <w:rsid w:val="00521F5B"/>
    <w:rsid w:val="00522792"/>
    <w:rsid w:val="00522F1C"/>
    <w:rsid w:val="00523124"/>
    <w:rsid w:val="0052383C"/>
    <w:rsid w:val="00523DCA"/>
    <w:rsid w:val="00524544"/>
    <w:rsid w:val="0052503B"/>
    <w:rsid w:val="00525BC2"/>
    <w:rsid w:val="00527050"/>
    <w:rsid w:val="0052726C"/>
    <w:rsid w:val="005277D7"/>
    <w:rsid w:val="00530002"/>
    <w:rsid w:val="005303BA"/>
    <w:rsid w:val="005315B3"/>
    <w:rsid w:val="005328A0"/>
    <w:rsid w:val="00532F08"/>
    <w:rsid w:val="005336E2"/>
    <w:rsid w:val="00541092"/>
    <w:rsid w:val="00543363"/>
    <w:rsid w:val="005434AA"/>
    <w:rsid w:val="005441CD"/>
    <w:rsid w:val="00547548"/>
    <w:rsid w:val="00547688"/>
    <w:rsid w:val="00547DC8"/>
    <w:rsid w:val="00550CCC"/>
    <w:rsid w:val="00551CFA"/>
    <w:rsid w:val="00553060"/>
    <w:rsid w:val="00553BD5"/>
    <w:rsid w:val="0055513A"/>
    <w:rsid w:val="0055540F"/>
    <w:rsid w:val="00555727"/>
    <w:rsid w:val="00556623"/>
    <w:rsid w:val="00556A23"/>
    <w:rsid w:val="00563D3F"/>
    <w:rsid w:val="00564483"/>
    <w:rsid w:val="00564891"/>
    <w:rsid w:val="00566757"/>
    <w:rsid w:val="005667B8"/>
    <w:rsid w:val="005671A6"/>
    <w:rsid w:val="005673D8"/>
    <w:rsid w:val="00570BFD"/>
    <w:rsid w:val="005712F9"/>
    <w:rsid w:val="0057289D"/>
    <w:rsid w:val="00572CFA"/>
    <w:rsid w:val="00572F1B"/>
    <w:rsid w:val="00573324"/>
    <w:rsid w:val="00574BEB"/>
    <w:rsid w:val="00574F1B"/>
    <w:rsid w:val="00574FD7"/>
    <w:rsid w:val="00576252"/>
    <w:rsid w:val="0057777B"/>
    <w:rsid w:val="00577FEC"/>
    <w:rsid w:val="00580107"/>
    <w:rsid w:val="00580BC0"/>
    <w:rsid w:val="00581DDE"/>
    <w:rsid w:val="00581EC9"/>
    <w:rsid w:val="005845FF"/>
    <w:rsid w:val="00585303"/>
    <w:rsid w:val="00585C0A"/>
    <w:rsid w:val="0058600E"/>
    <w:rsid w:val="00586938"/>
    <w:rsid w:val="00590A76"/>
    <w:rsid w:val="00590B90"/>
    <w:rsid w:val="0059199B"/>
    <w:rsid w:val="00595686"/>
    <w:rsid w:val="00595706"/>
    <w:rsid w:val="00596B3E"/>
    <w:rsid w:val="00597F6D"/>
    <w:rsid w:val="005A0A0C"/>
    <w:rsid w:val="005A0C2C"/>
    <w:rsid w:val="005A13D0"/>
    <w:rsid w:val="005A1654"/>
    <w:rsid w:val="005A2571"/>
    <w:rsid w:val="005A2D6F"/>
    <w:rsid w:val="005A3567"/>
    <w:rsid w:val="005A3C41"/>
    <w:rsid w:val="005A47B0"/>
    <w:rsid w:val="005A5FAE"/>
    <w:rsid w:val="005A7BBE"/>
    <w:rsid w:val="005B1022"/>
    <w:rsid w:val="005B40B3"/>
    <w:rsid w:val="005B4D31"/>
    <w:rsid w:val="005B50E0"/>
    <w:rsid w:val="005B6393"/>
    <w:rsid w:val="005B6CB4"/>
    <w:rsid w:val="005B7F78"/>
    <w:rsid w:val="005C047D"/>
    <w:rsid w:val="005C0ECD"/>
    <w:rsid w:val="005C1BFF"/>
    <w:rsid w:val="005C2045"/>
    <w:rsid w:val="005C3AE3"/>
    <w:rsid w:val="005C41C5"/>
    <w:rsid w:val="005C5B3D"/>
    <w:rsid w:val="005C6249"/>
    <w:rsid w:val="005C6E3D"/>
    <w:rsid w:val="005D0B02"/>
    <w:rsid w:val="005D1158"/>
    <w:rsid w:val="005D1645"/>
    <w:rsid w:val="005D19C0"/>
    <w:rsid w:val="005D1BAF"/>
    <w:rsid w:val="005D1C21"/>
    <w:rsid w:val="005D2AC7"/>
    <w:rsid w:val="005D3DE5"/>
    <w:rsid w:val="005D4850"/>
    <w:rsid w:val="005D4AFB"/>
    <w:rsid w:val="005D6375"/>
    <w:rsid w:val="005D642D"/>
    <w:rsid w:val="005D7857"/>
    <w:rsid w:val="005D7B69"/>
    <w:rsid w:val="005E0079"/>
    <w:rsid w:val="005E08B2"/>
    <w:rsid w:val="005E21B3"/>
    <w:rsid w:val="005E4279"/>
    <w:rsid w:val="005E48ED"/>
    <w:rsid w:val="005E5AEC"/>
    <w:rsid w:val="005E6624"/>
    <w:rsid w:val="005F238F"/>
    <w:rsid w:val="005F2F29"/>
    <w:rsid w:val="005F3CDC"/>
    <w:rsid w:val="005F511F"/>
    <w:rsid w:val="005F6380"/>
    <w:rsid w:val="00600C07"/>
    <w:rsid w:val="00600D08"/>
    <w:rsid w:val="0060248D"/>
    <w:rsid w:val="006028B5"/>
    <w:rsid w:val="00602A80"/>
    <w:rsid w:val="00603965"/>
    <w:rsid w:val="00603A84"/>
    <w:rsid w:val="00603B76"/>
    <w:rsid w:val="00603FA7"/>
    <w:rsid w:val="006059D2"/>
    <w:rsid w:val="00606A0A"/>
    <w:rsid w:val="00611E2C"/>
    <w:rsid w:val="006129AB"/>
    <w:rsid w:val="00621536"/>
    <w:rsid w:val="0062154D"/>
    <w:rsid w:val="006215E4"/>
    <w:rsid w:val="00621DF0"/>
    <w:rsid w:val="006227DE"/>
    <w:rsid w:val="00623A73"/>
    <w:rsid w:val="0062428C"/>
    <w:rsid w:val="006242E6"/>
    <w:rsid w:val="006271F5"/>
    <w:rsid w:val="00630015"/>
    <w:rsid w:val="0063420D"/>
    <w:rsid w:val="00636DAF"/>
    <w:rsid w:val="00641931"/>
    <w:rsid w:val="00641B09"/>
    <w:rsid w:val="00642DD0"/>
    <w:rsid w:val="00643836"/>
    <w:rsid w:val="00643F01"/>
    <w:rsid w:val="00647288"/>
    <w:rsid w:val="0064742D"/>
    <w:rsid w:val="0064795C"/>
    <w:rsid w:val="00650D04"/>
    <w:rsid w:val="00650F5C"/>
    <w:rsid w:val="00651BB9"/>
    <w:rsid w:val="00652137"/>
    <w:rsid w:val="00652D24"/>
    <w:rsid w:val="00654992"/>
    <w:rsid w:val="00655C96"/>
    <w:rsid w:val="006566C7"/>
    <w:rsid w:val="00657168"/>
    <w:rsid w:val="00660E1F"/>
    <w:rsid w:val="00661180"/>
    <w:rsid w:val="00662083"/>
    <w:rsid w:val="00662849"/>
    <w:rsid w:val="00665583"/>
    <w:rsid w:val="006659F1"/>
    <w:rsid w:val="00666041"/>
    <w:rsid w:val="006662FE"/>
    <w:rsid w:val="00670A81"/>
    <w:rsid w:val="00670B3D"/>
    <w:rsid w:val="00670CE7"/>
    <w:rsid w:val="00671A84"/>
    <w:rsid w:val="00671B60"/>
    <w:rsid w:val="00674C7C"/>
    <w:rsid w:val="006750AE"/>
    <w:rsid w:val="00682DA0"/>
    <w:rsid w:val="00684053"/>
    <w:rsid w:val="0068438F"/>
    <w:rsid w:val="006849EB"/>
    <w:rsid w:val="00684B61"/>
    <w:rsid w:val="00684E90"/>
    <w:rsid w:val="006853A1"/>
    <w:rsid w:val="006855E8"/>
    <w:rsid w:val="00685A97"/>
    <w:rsid w:val="00686263"/>
    <w:rsid w:val="0068758C"/>
    <w:rsid w:val="00687845"/>
    <w:rsid w:val="0069145D"/>
    <w:rsid w:val="006914F3"/>
    <w:rsid w:val="006917B4"/>
    <w:rsid w:val="00692E1A"/>
    <w:rsid w:val="00693872"/>
    <w:rsid w:val="0069453A"/>
    <w:rsid w:val="00694C1E"/>
    <w:rsid w:val="00695ADC"/>
    <w:rsid w:val="00697DF8"/>
    <w:rsid w:val="006A0729"/>
    <w:rsid w:val="006A09E8"/>
    <w:rsid w:val="006A0EC4"/>
    <w:rsid w:val="006A3237"/>
    <w:rsid w:val="006A37F6"/>
    <w:rsid w:val="006A3A47"/>
    <w:rsid w:val="006A440E"/>
    <w:rsid w:val="006A5252"/>
    <w:rsid w:val="006A6EE1"/>
    <w:rsid w:val="006A7428"/>
    <w:rsid w:val="006A743D"/>
    <w:rsid w:val="006A7DE6"/>
    <w:rsid w:val="006B1F01"/>
    <w:rsid w:val="006B2189"/>
    <w:rsid w:val="006B27BA"/>
    <w:rsid w:val="006B2CB0"/>
    <w:rsid w:val="006B47FC"/>
    <w:rsid w:val="006B4E39"/>
    <w:rsid w:val="006B4EDC"/>
    <w:rsid w:val="006B7688"/>
    <w:rsid w:val="006C0292"/>
    <w:rsid w:val="006C0755"/>
    <w:rsid w:val="006C28A9"/>
    <w:rsid w:val="006C33C8"/>
    <w:rsid w:val="006C3791"/>
    <w:rsid w:val="006C6763"/>
    <w:rsid w:val="006C678D"/>
    <w:rsid w:val="006C7209"/>
    <w:rsid w:val="006C75AD"/>
    <w:rsid w:val="006D1A5B"/>
    <w:rsid w:val="006D1CBD"/>
    <w:rsid w:val="006D2B83"/>
    <w:rsid w:val="006D47AF"/>
    <w:rsid w:val="006D4937"/>
    <w:rsid w:val="006D4DDD"/>
    <w:rsid w:val="006D53D9"/>
    <w:rsid w:val="006D77CB"/>
    <w:rsid w:val="006E076B"/>
    <w:rsid w:val="006E0C4D"/>
    <w:rsid w:val="006E0EC7"/>
    <w:rsid w:val="006E1D64"/>
    <w:rsid w:val="006E28CC"/>
    <w:rsid w:val="006E3857"/>
    <w:rsid w:val="006E3AB6"/>
    <w:rsid w:val="006E452A"/>
    <w:rsid w:val="006E4586"/>
    <w:rsid w:val="006E48E4"/>
    <w:rsid w:val="006E7AE5"/>
    <w:rsid w:val="006E7B6F"/>
    <w:rsid w:val="006F04A7"/>
    <w:rsid w:val="006F1A01"/>
    <w:rsid w:val="006F2383"/>
    <w:rsid w:val="006F31D8"/>
    <w:rsid w:val="006F3673"/>
    <w:rsid w:val="006F3CA9"/>
    <w:rsid w:val="006F4D61"/>
    <w:rsid w:val="006F6E60"/>
    <w:rsid w:val="006F6F42"/>
    <w:rsid w:val="006F76CD"/>
    <w:rsid w:val="006F7AE9"/>
    <w:rsid w:val="00700953"/>
    <w:rsid w:val="00701E25"/>
    <w:rsid w:val="00704335"/>
    <w:rsid w:val="007045AE"/>
    <w:rsid w:val="00704913"/>
    <w:rsid w:val="00704A2A"/>
    <w:rsid w:val="00705A01"/>
    <w:rsid w:val="00707881"/>
    <w:rsid w:val="00710A99"/>
    <w:rsid w:val="00710B89"/>
    <w:rsid w:val="00710C2D"/>
    <w:rsid w:val="00713D18"/>
    <w:rsid w:val="00714D7C"/>
    <w:rsid w:val="00714F16"/>
    <w:rsid w:val="00715A57"/>
    <w:rsid w:val="00717C68"/>
    <w:rsid w:val="00720FEC"/>
    <w:rsid w:val="00721167"/>
    <w:rsid w:val="00722CD6"/>
    <w:rsid w:val="0072419E"/>
    <w:rsid w:val="00724CFB"/>
    <w:rsid w:val="0072583C"/>
    <w:rsid w:val="00726547"/>
    <w:rsid w:val="00726575"/>
    <w:rsid w:val="007272E6"/>
    <w:rsid w:val="007274A7"/>
    <w:rsid w:val="007279A3"/>
    <w:rsid w:val="007303FE"/>
    <w:rsid w:val="007305A9"/>
    <w:rsid w:val="007325BC"/>
    <w:rsid w:val="007326D3"/>
    <w:rsid w:val="00733CBF"/>
    <w:rsid w:val="0074038E"/>
    <w:rsid w:val="00740FAD"/>
    <w:rsid w:val="007440F6"/>
    <w:rsid w:val="00744A93"/>
    <w:rsid w:val="00744B02"/>
    <w:rsid w:val="00745E90"/>
    <w:rsid w:val="007461AF"/>
    <w:rsid w:val="0074639C"/>
    <w:rsid w:val="00746722"/>
    <w:rsid w:val="00747A75"/>
    <w:rsid w:val="0075093E"/>
    <w:rsid w:val="00750B6F"/>
    <w:rsid w:val="00750DDA"/>
    <w:rsid w:val="0075155A"/>
    <w:rsid w:val="007515D4"/>
    <w:rsid w:val="00754CC9"/>
    <w:rsid w:val="0075596E"/>
    <w:rsid w:val="00756916"/>
    <w:rsid w:val="00757394"/>
    <w:rsid w:val="00760645"/>
    <w:rsid w:val="00761E2C"/>
    <w:rsid w:val="00761F2C"/>
    <w:rsid w:val="00761FBF"/>
    <w:rsid w:val="00762E5F"/>
    <w:rsid w:val="00762EBB"/>
    <w:rsid w:val="00765001"/>
    <w:rsid w:val="00765F07"/>
    <w:rsid w:val="007666F4"/>
    <w:rsid w:val="00766B87"/>
    <w:rsid w:val="007702E5"/>
    <w:rsid w:val="00771E21"/>
    <w:rsid w:val="00772D01"/>
    <w:rsid w:val="00773626"/>
    <w:rsid w:val="00773EFC"/>
    <w:rsid w:val="00774CC6"/>
    <w:rsid w:val="0078034B"/>
    <w:rsid w:val="007807C3"/>
    <w:rsid w:val="00786DBF"/>
    <w:rsid w:val="007871A8"/>
    <w:rsid w:val="00790B1A"/>
    <w:rsid w:val="007927AE"/>
    <w:rsid w:val="00794B23"/>
    <w:rsid w:val="00795F00"/>
    <w:rsid w:val="00796C82"/>
    <w:rsid w:val="00797116"/>
    <w:rsid w:val="007A0AF7"/>
    <w:rsid w:val="007A0D02"/>
    <w:rsid w:val="007A1630"/>
    <w:rsid w:val="007A2D5D"/>
    <w:rsid w:val="007A303A"/>
    <w:rsid w:val="007A4A38"/>
    <w:rsid w:val="007A4B3A"/>
    <w:rsid w:val="007A5A30"/>
    <w:rsid w:val="007A5C2F"/>
    <w:rsid w:val="007A5CAD"/>
    <w:rsid w:val="007A602E"/>
    <w:rsid w:val="007B0140"/>
    <w:rsid w:val="007B2EF2"/>
    <w:rsid w:val="007B3694"/>
    <w:rsid w:val="007B3851"/>
    <w:rsid w:val="007B3CE3"/>
    <w:rsid w:val="007B4A37"/>
    <w:rsid w:val="007B4D0E"/>
    <w:rsid w:val="007B566D"/>
    <w:rsid w:val="007B5837"/>
    <w:rsid w:val="007B616A"/>
    <w:rsid w:val="007C0268"/>
    <w:rsid w:val="007C0879"/>
    <w:rsid w:val="007C12C6"/>
    <w:rsid w:val="007C3447"/>
    <w:rsid w:val="007C418C"/>
    <w:rsid w:val="007C70F4"/>
    <w:rsid w:val="007C7C77"/>
    <w:rsid w:val="007D0C7D"/>
    <w:rsid w:val="007D18F3"/>
    <w:rsid w:val="007D66BE"/>
    <w:rsid w:val="007D762D"/>
    <w:rsid w:val="007D7BBE"/>
    <w:rsid w:val="007E2902"/>
    <w:rsid w:val="007E3E2F"/>
    <w:rsid w:val="007E7748"/>
    <w:rsid w:val="007E7866"/>
    <w:rsid w:val="007F0E10"/>
    <w:rsid w:val="007F3067"/>
    <w:rsid w:val="007F3598"/>
    <w:rsid w:val="007F3DF9"/>
    <w:rsid w:val="007F410C"/>
    <w:rsid w:val="007F4BC2"/>
    <w:rsid w:val="007F4C28"/>
    <w:rsid w:val="007F4D60"/>
    <w:rsid w:val="007F501A"/>
    <w:rsid w:val="007F7CB0"/>
    <w:rsid w:val="00800ECA"/>
    <w:rsid w:val="0080158F"/>
    <w:rsid w:val="00801647"/>
    <w:rsid w:val="008016AC"/>
    <w:rsid w:val="00803326"/>
    <w:rsid w:val="00803BE0"/>
    <w:rsid w:val="008048D3"/>
    <w:rsid w:val="00805BB0"/>
    <w:rsid w:val="00806CAB"/>
    <w:rsid w:val="0081054B"/>
    <w:rsid w:val="008115D9"/>
    <w:rsid w:val="00812B34"/>
    <w:rsid w:val="00812D92"/>
    <w:rsid w:val="00813B4C"/>
    <w:rsid w:val="00813B9D"/>
    <w:rsid w:val="00813BA5"/>
    <w:rsid w:val="00815BB0"/>
    <w:rsid w:val="0081634E"/>
    <w:rsid w:val="008165F0"/>
    <w:rsid w:val="00817491"/>
    <w:rsid w:val="00817958"/>
    <w:rsid w:val="008209F2"/>
    <w:rsid w:val="0082562A"/>
    <w:rsid w:val="00830BD3"/>
    <w:rsid w:val="00830E4D"/>
    <w:rsid w:val="00832144"/>
    <w:rsid w:val="00832EC6"/>
    <w:rsid w:val="0083393F"/>
    <w:rsid w:val="008341D1"/>
    <w:rsid w:val="00836C93"/>
    <w:rsid w:val="008371F1"/>
    <w:rsid w:val="00840C1A"/>
    <w:rsid w:val="00841516"/>
    <w:rsid w:val="008422D2"/>
    <w:rsid w:val="00842BE3"/>
    <w:rsid w:val="00843A3F"/>
    <w:rsid w:val="00843AD6"/>
    <w:rsid w:val="00845E97"/>
    <w:rsid w:val="008460F8"/>
    <w:rsid w:val="008467ED"/>
    <w:rsid w:val="00847769"/>
    <w:rsid w:val="008477F5"/>
    <w:rsid w:val="00847B03"/>
    <w:rsid w:val="00852398"/>
    <w:rsid w:val="00852914"/>
    <w:rsid w:val="0085389D"/>
    <w:rsid w:val="00854275"/>
    <w:rsid w:val="00856CA3"/>
    <w:rsid w:val="00856E90"/>
    <w:rsid w:val="0085733D"/>
    <w:rsid w:val="00857524"/>
    <w:rsid w:val="008600DB"/>
    <w:rsid w:val="008602C8"/>
    <w:rsid w:val="008607BF"/>
    <w:rsid w:val="0086089C"/>
    <w:rsid w:val="008609A4"/>
    <w:rsid w:val="00861298"/>
    <w:rsid w:val="00863E5F"/>
    <w:rsid w:val="0086438B"/>
    <w:rsid w:val="00864BA8"/>
    <w:rsid w:val="00864F3A"/>
    <w:rsid w:val="00866F77"/>
    <w:rsid w:val="00867EE1"/>
    <w:rsid w:val="00871334"/>
    <w:rsid w:val="00871BA3"/>
    <w:rsid w:val="00873094"/>
    <w:rsid w:val="008741C7"/>
    <w:rsid w:val="0087542E"/>
    <w:rsid w:val="00880765"/>
    <w:rsid w:val="00880D73"/>
    <w:rsid w:val="00880F4B"/>
    <w:rsid w:val="00882475"/>
    <w:rsid w:val="00883FFE"/>
    <w:rsid w:val="00885049"/>
    <w:rsid w:val="00885934"/>
    <w:rsid w:val="00886259"/>
    <w:rsid w:val="00886505"/>
    <w:rsid w:val="00886FE3"/>
    <w:rsid w:val="00890210"/>
    <w:rsid w:val="00893320"/>
    <w:rsid w:val="0089344D"/>
    <w:rsid w:val="00893979"/>
    <w:rsid w:val="00893BBB"/>
    <w:rsid w:val="00893BFB"/>
    <w:rsid w:val="00894CFF"/>
    <w:rsid w:val="008959AF"/>
    <w:rsid w:val="00896A54"/>
    <w:rsid w:val="00897B9C"/>
    <w:rsid w:val="008A079C"/>
    <w:rsid w:val="008A3638"/>
    <w:rsid w:val="008A38E4"/>
    <w:rsid w:val="008A5CE5"/>
    <w:rsid w:val="008A63CC"/>
    <w:rsid w:val="008A7C4A"/>
    <w:rsid w:val="008B00DE"/>
    <w:rsid w:val="008B0A33"/>
    <w:rsid w:val="008B118E"/>
    <w:rsid w:val="008B11CF"/>
    <w:rsid w:val="008B1A90"/>
    <w:rsid w:val="008B2085"/>
    <w:rsid w:val="008B3EF9"/>
    <w:rsid w:val="008B5991"/>
    <w:rsid w:val="008B721A"/>
    <w:rsid w:val="008C05B0"/>
    <w:rsid w:val="008C09D4"/>
    <w:rsid w:val="008C1563"/>
    <w:rsid w:val="008C1898"/>
    <w:rsid w:val="008C1D28"/>
    <w:rsid w:val="008C2124"/>
    <w:rsid w:val="008C2608"/>
    <w:rsid w:val="008C30D2"/>
    <w:rsid w:val="008C32FC"/>
    <w:rsid w:val="008C33DD"/>
    <w:rsid w:val="008C390F"/>
    <w:rsid w:val="008D04BF"/>
    <w:rsid w:val="008D1223"/>
    <w:rsid w:val="008D28D0"/>
    <w:rsid w:val="008D2A7C"/>
    <w:rsid w:val="008D4A64"/>
    <w:rsid w:val="008D4E70"/>
    <w:rsid w:val="008D562E"/>
    <w:rsid w:val="008D6880"/>
    <w:rsid w:val="008D7C04"/>
    <w:rsid w:val="008E0684"/>
    <w:rsid w:val="008E176F"/>
    <w:rsid w:val="008E2005"/>
    <w:rsid w:val="008E21F4"/>
    <w:rsid w:val="008E2AA2"/>
    <w:rsid w:val="008E2C10"/>
    <w:rsid w:val="008E3180"/>
    <w:rsid w:val="008E324A"/>
    <w:rsid w:val="008E39B2"/>
    <w:rsid w:val="008E4C8D"/>
    <w:rsid w:val="008E5C4E"/>
    <w:rsid w:val="008E6184"/>
    <w:rsid w:val="008E64FF"/>
    <w:rsid w:val="008E6C82"/>
    <w:rsid w:val="008E6D58"/>
    <w:rsid w:val="008E7D56"/>
    <w:rsid w:val="008F0CE3"/>
    <w:rsid w:val="008F0DD0"/>
    <w:rsid w:val="008F19FC"/>
    <w:rsid w:val="008F1DAE"/>
    <w:rsid w:val="008F1FAF"/>
    <w:rsid w:val="008F3A31"/>
    <w:rsid w:val="008F3C57"/>
    <w:rsid w:val="008F3D34"/>
    <w:rsid w:val="008F4E83"/>
    <w:rsid w:val="008F5742"/>
    <w:rsid w:val="008F5F58"/>
    <w:rsid w:val="008F618A"/>
    <w:rsid w:val="008F61AD"/>
    <w:rsid w:val="008F672D"/>
    <w:rsid w:val="00900AC9"/>
    <w:rsid w:val="009010F5"/>
    <w:rsid w:val="00902B59"/>
    <w:rsid w:val="0090357D"/>
    <w:rsid w:val="00905D5B"/>
    <w:rsid w:val="00906F7F"/>
    <w:rsid w:val="00907407"/>
    <w:rsid w:val="00907731"/>
    <w:rsid w:val="00907C32"/>
    <w:rsid w:val="00910042"/>
    <w:rsid w:val="00912215"/>
    <w:rsid w:val="009128B3"/>
    <w:rsid w:val="00914960"/>
    <w:rsid w:val="00914E12"/>
    <w:rsid w:val="009156CA"/>
    <w:rsid w:val="00915BE7"/>
    <w:rsid w:val="0091652D"/>
    <w:rsid w:val="009166E8"/>
    <w:rsid w:val="00916BD7"/>
    <w:rsid w:val="00920DB6"/>
    <w:rsid w:val="009214F6"/>
    <w:rsid w:val="009223ED"/>
    <w:rsid w:val="00923042"/>
    <w:rsid w:val="0092448C"/>
    <w:rsid w:val="00924CFF"/>
    <w:rsid w:val="00925E73"/>
    <w:rsid w:val="00926880"/>
    <w:rsid w:val="00927ADC"/>
    <w:rsid w:val="00931352"/>
    <w:rsid w:val="00932F41"/>
    <w:rsid w:val="00934BB7"/>
    <w:rsid w:val="00934D72"/>
    <w:rsid w:val="009353E0"/>
    <w:rsid w:val="00936FBD"/>
    <w:rsid w:val="00941AB2"/>
    <w:rsid w:val="009436E0"/>
    <w:rsid w:val="009450EF"/>
    <w:rsid w:val="00945C79"/>
    <w:rsid w:val="00945C98"/>
    <w:rsid w:val="009479B3"/>
    <w:rsid w:val="0095017A"/>
    <w:rsid w:val="00952FB6"/>
    <w:rsid w:val="00955B30"/>
    <w:rsid w:val="00955D7C"/>
    <w:rsid w:val="009568DA"/>
    <w:rsid w:val="009569A8"/>
    <w:rsid w:val="00960465"/>
    <w:rsid w:val="00961FAB"/>
    <w:rsid w:val="00962385"/>
    <w:rsid w:val="00962784"/>
    <w:rsid w:val="009643F7"/>
    <w:rsid w:val="00965397"/>
    <w:rsid w:val="00965C54"/>
    <w:rsid w:val="00965FF8"/>
    <w:rsid w:val="009670AF"/>
    <w:rsid w:val="00967C65"/>
    <w:rsid w:val="00970C16"/>
    <w:rsid w:val="00972211"/>
    <w:rsid w:val="00973274"/>
    <w:rsid w:val="00973E5A"/>
    <w:rsid w:val="00974D78"/>
    <w:rsid w:val="00975061"/>
    <w:rsid w:val="00975359"/>
    <w:rsid w:val="009758A9"/>
    <w:rsid w:val="00977BF5"/>
    <w:rsid w:val="009825F6"/>
    <w:rsid w:val="00982DEC"/>
    <w:rsid w:val="00982F79"/>
    <w:rsid w:val="0098336D"/>
    <w:rsid w:val="009834E6"/>
    <w:rsid w:val="0098531A"/>
    <w:rsid w:val="009853EA"/>
    <w:rsid w:val="009857D3"/>
    <w:rsid w:val="0098656B"/>
    <w:rsid w:val="009867A6"/>
    <w:rsid w:val="00991538"/>
    <w:rsid w:val="00991E61"/>
    <w:rsid w:val="00994A68"/>
    <w:rsid w:val="00995489"/>
    <w:rsid w:val="00996BD2"/>
    <w:rsid w:val="009972C0"/>
    <w:rsid w:val="00997BC0"/>
    <w:rsid w:val="009A1C21"/>
    <w:rsid w:val="009A3657"/>
    <w:rsid w:val="009A392A"/>
    <w:rsid w:val="009A5D7F"/>
    <w:rsid w:val="009A6F71"/>
    <w:rsid w:val="009B0303"/>
    <w:rsid w:val="009B0426"/>
    <w:rsid w:val="009B0490"/>
    <w:rsid w:val="009B0D3A"/>
    <w:rsid w:val="009B504A"/>
    <w:rsid w:val="009B55EF"/>
    <w:rsid w:val="009B6053"/>
    <w:rsid w:val="009B6F10"/>
    <w:rsid w:val="009B75B3"/>
    <w:rsid w:val="009C0123"/>
    <w:rsid w:val="009C0771"/>
    <w:rsid w:val="009C08A1"/>
    <w:rsid w:val="009C15A8"/>
    <w:rsid w:val="009C17B9"/>
    <w:rsid w:val="009C2722"/>
    <w:rsid w:val="009C3547"/>
    <w:rsid w:val="009C5307"/>
    <w:rsid w:val="009C570A"/>
    <w:rsid w:val="009C5777"/>
    <w:rsid w:val="009C6361"/>
    <w:rsid w:val="009C64D8"/>
    <w:rsid w:val="009C6F37"/>
    <w:rsid w:val="009C7E29"/>
    <w:rsid w:val="009D0DAD"/>
    <w:rsid w:val="009D3350"/>
    <w:rsid w:val="009D3C7B"/>
    <w:rsid w:val="009D3E6E"/>
    <w:rsid w:val="009D42C0"/>
    <w:rsid w:val="009D51B8"/>
    <w:rsid w:val="009D623F"/>
    <w:rsid w:val="009D67E2"/>
    <w:rsid w:val="009D684F"/>
    <w:rsid w:val="009D755A"/>
    <w:rsid w:val="009D757B"/>
    <w:rsid w:val="009E18A4"/>
    <w:rsid w:val="009E20C2"/>
    <w:rsid w:val="009E30CE"/>
    <w:rsid w:val="009E3B40"/>
    <w:rsid w:val="009E43C6"/>
    <w:rsid w:val="009E46D8"/>
    <w:rsid w:val="009E4744"/>
    <w:rsid w:val="009E663E"/>
    <w:rsid w:val="009F00B3"/>
    <w:rsid w:val="009F0486"/>
    <w:rsid w:val="009F07EB"/>
    <w:rsid w:val="009F12B9"/>
    <w:rsid w:val="009F1BD8"/>
    <w:rsid w:val="009F2146"/>
    <w:rsid w:val="009F2458"/>
    <w:rsid w:val="009F26BA"/>
    <w:rsid w:val="009F3BF8"/>
    <w:rsid w:val="009F3E88"/>
    <w:rsid w:val="009F54F5"/>
    <w:rsid w:val="009F5AED"/>
    <w:rsid w:val="009F5D80"/>
    <w:rsid w:val="009F5FEA"/>
    <w:rsid w:val="009F6924"/>
    <w:rsid w:val="00A002C9"/>
    <w:rsid w:val="00A02051"/>
    <w:rsid w:val="00A030FD"/>
    <w:rsid w:val="00A06B25"/>
    <w:rsid w:val="00A06EB9"/>
    <w:rsid w:val="00A071D4"/>
    <w:rsid w:val="00A07C86"/>
    <w:rsid w:val="00A11A9A"/>
    <w:rsid w:val="00A1268A"/>
    <w:rsid w:val="00A1298E"/>
    <w:rsid w:val="00A12E23"/>
    <w:rsid w:val="00A156CA"/>
    <w:rsid w:val="00A16DAD"/>
    <w:rsid w:val="00A17278"/>
    <w:rsid w:val="00A224F2"/>
    <w:rsid w:val="00A24116"/>
    <w:rsid w:val="00A25EFF"/>
    <w:rsid w:val="00A30C95"/>
    <w:rsid w:val="00A30CA9"/>
    <w:rsid w:val="00A32196"/>
    <w:rsid w:val="00A33717"/>
    <w:rsid w:val="00A33B7A"/>
    <w:rsid w:val="00A33FA5"/>
    <w:rsid w:val="00A340E3"/>
    <w:rsid w:val="00A354FC"/>
    <w:rsid w:val="00A3658B"/>
    <w:rsid w:val="00A3710F"/>
    <w:rsid w:val="00A37429"/>
    <w:rsid w:val="00A44A37"/>
    <w:rsid w:val="00A45FF1"/>
    <w:rsid w:val="00A46D06"/>
    <w:rsid w:val="00A475FF"/>
    <w:rsid w:val="00A47DAB"/>
    <w:rsid w:val="00A5010C"/>
    <w:rsid w:val="00A51E96"/>
    <w:rsid w:val="00A523A1"/>
    <w:rsid w:val="00A52931"/>
    <w:rsid w:val="00A5369A"/>
    <w:rsid w:val="00A53B85"/>
    <w:rsid w:val="00A53E59"/>
    <w:rsid w:val="00A54DBB"/>
    <w:rsid w:val="00A55829"/>
    <w:rsid w:val="00A56B72"/>
    <w:rsid w:val="00A6125B"/>
    <w:rsid w:val="00A619C3"/>
    <w:rsid w:val="00A624DC"/>
    <w:rsid w:val="00A634FA"/>
    <w:rsid w:val="00A65B04"/>
    <w:rsid w:val="00A67D93"/>
    <w:rsid w:val="00A71E55"/>
    <w:rsid w:val="00A72115"/>
    <w:rsid w:val="00A72B7E"/>
    <w:rsid w:val="00A73AAE"/>
    <w:rsid w:val="00A73DF7"/>
    <w:rsid w:val="00A73ED1"/>
    <w:rsid w:val="00A75504"/>
    <w:rsid w:val="00A75DD6"/>
    <w:rsid w:val="00A765AF"/>
    <w:rsid w:val="00A76D93"/>
    <w:rsid w:val="00A76DE3"/>
    <w:rsid w:val="00A842C4"/>
    <w:rsid w:val="00A84E0A"/>
    <w:rsid w:val="00A84F3F"/>
    <w:rsid w:val="00A8519C"/>
    <w:rsid w:val="00A857EA"/>
    <w:rsid w:val="00A86D32"/>
    <w:rsid w:val="00A8748B"/>
    <w:rsid w:val="00A87AEC"/>
    <w:rsid w:val="00A908A0"/>
    <w:rsid w:val="00A91857"/>
    <w:rsid w:val="00A92BC4"/>
    <w:rsid w:val="00A950B4"/>
    <w:rsid w:val="00A95495"/>
    <w:rsid w:val="00A96676"/>
    <w:rsid w:val="00A967A1"/>
    <w:rsid w:val="00A96859"/>
    <w:rsid w:val="00A97DFB"/>
    <w:rsid w:val="00AA0F40"/>
    <w:rsid w:val="00AA1979"/>
    <w:rsid w:val="00AA1FA8"/>
    <w:rsid w:val="00AA3A19"/>
    <w:rsid w:val="00AA5D87"/>
    <w:rsid w:val="00AA6085"/>
    <w:rsid w:val="00AA6105"/>
    <w:rsid w:val="00AA6318"/>
    <w:rsid w:val="00AA6ACE"/>
    <w:rsid w:val="00AB0F93"/>
    <w:rsid w:val="00AB286C"/>
    <w:rsid w:val="00AB30CD"/>
    <w:rsid w:val="00AB375B"/>
    <w:rsid w:val="00AB563C"/>
    <w:rsid w:val="00AC0439"/>
    <w:rsid w:val="00AC1451"/>
    <w:rsid w:val="00AC1934"/>
    <w:rsid w:val="00AC1A05"/>
    <w:rsid w:val="00AC20B8"/>
    <w:rsid w:val="00AC26CC"/>
    <w:rsid w:val="00AC27C1"/>
    <w:rsid w:val="00AC2F1B"/>
    <w:rsid w:val="00AC3498"/>
    <w:rsid w:val="00AC4433"/>
    <w:rsid w:val="00AC4E70"/>
    <w:rsid w:val="00AC54B0"/>
    <w:rsid w:val="00AC65CD"/>
    <w:rsid w:val="00AC69C4"/>
    <w:rsid w:val="00AC6DC0"/>
    <w:rsid w:val="00AD0A9D"/>
    <w:rsid w:val="00AD190F"/>
    <w:rsid w:val="00AD2E16"/>
    <w:rsid w:val="00AD53B6"/>
    <w:rsid w:val="00AD7DEE"/>
    <w:rsid w:val="00AE24AA"/>
    <w:rsid w:val="00AE6F79"/>
    <w:rsid w:val="00AF13B7"/>
    <w:rsid w:val="00AF3B69"/>
    <w:rsid w:val="00AF4097"/>
    <w:rsid w:val="00AF409B"/>
    <w:rsid w:val="00AF48A3"/>
    <w:rsid w:val="00AF586A"/>
    <w:rsid w:val="00AF5B41"/>
    <w:rsid w:val="00AF615D"/>
    <w:rsid w:val="00AF6EFF"/>
    <w:rsid w:val="00AF7EEC"/>
    <w:rsid w:val="00B02F6D"/>
    <w:rsid w:val="00B03069"/>
    <w:rsid w:val="00B03631"/>
    <w:rsid w:val="00B040FC"/>
    <w:rsid w:val="00B04844"/>
    <w:rsid w:val="00B04F51"/>
    <w:rsid w:val="00B0697C"/>
    <w:rsid w:val="00B06D4A"/>
    <w:rsid w:val="00B07564"/>
    <w:rsid w:val="00B07A78"/>
    <w:rsid w:val="00B110C7"/>
    <w:rsid w:val="00B118F5"/>
    <w:rsid w:val="00B13502"/>
    <w:rsid w:val="00B13BF3"/>
    <w:rsid w:val="00B15D1D"/>
    <w:rsid w:val="00B16B70"/>
    <w:rsid w:val="00B174BC"/>
    <w:rsid w:val="00B21F21"/>
    <w:rsid w:val="00B229B6"/>
    <w:rsid w:val="00B24F09"/>
    <w:rsid w:val="00B25105"/>
    <w:rsid w:val="00B254B5"/>
    <w:rsid w:val="00B25566"/>
    <w:rsid w:val="00B344E1"/>
    <w:rsid w:val="00B34898"/>
    <w:rsid w:val="00B34922"/>
    <w:rsid w:val="00B355B8"/>
    <w:rsid w:val="00B414F8"/>
    <w:rsid w:val="00B41C04"/>
    <w:rsid w:val="00B4209D"/>
    <w:rsid w:val="00B4333E"/>
    <w:rsid w:val="00B43C03"/>
    <w:rsid w:val="00B441D5"/>
    <w:rsid w:val="00B44D45"/>
    <w:rsid w:val="00B452B0"/>
    <w:rsid w:val="00B4624F"/>
    <w:rsid w:val="00B4629A"/>
    <w:rsid w:val="00B46F52"/>
    <w:rsid w:val="00B47950"/>
    <w:rsid w:val="00B50959"/>
    <w:rsid w:val="00B50D02"/>
    <w:rsid w:val="00B55466"/>
    <w:rsid w:val="00B5660F"/>
    <w:rsid w:val="00B5732D"/>
    <w:rsid w:val="00B57C85"/>
    <w:rsid w:val="00B60047"/>
    <w:rsid w:val="00B60B21"/>
    <w:rsid w:val="00B60B9E"/>
    <w:rsid w:val="00B61367"/>
    <w:rsid w:val="00B61968"/>
    <w:rsid w:val="00B64908"/>
    <w:rsid w:val="00B6551B"/>
    <w:rsid w:val="00B65CA2"/>
    <w:rsid w:val="00B66D42"/>
    <w:rsid w:val="00B67380"/>
    <w:rsid w:val="00B6766E"/>
    <w:rsid w:val="00B7026D"/>
    <w:rsid w:val="00B7103A"/>
    <w:rsid w:val="00B73E36"/>
    <w:rsid w:val="00B74A44"/>
    <w:rsid w:val="00B757AE"/>
    <w:rsid w:val="00B75D13"/>
    <w:rsid w:val="00B76B08"/>
    <w:rsid w:val="00B76FDC"/>
    <w:rsid w:val="00B80095"/>
    <w:rsid w:val="00B80DBA"/>
    <w:rsid w:val="00B819FC"/>
    <w:rsid w:val="00B8438F"/>
    <w:rsid w:val="00B86635"/>
    <w:rsid w:val="00B86BF4"/>
    <w:rsid w:val="00B93215"/>
    <w:rsid w:val="00B94054"/>
    <w:rsid w:val="00B951E2"/>
    <w:rsid w:val="00B9671C"/>
    <w:rsid w:val="00B967DD"/>
    <w:rsid w:val="00B96DE8"/>
    <w:rsid w:val="00B96EF2"/>
    <w:rsid w:val="00B972F1"/>
    <w:rsid w:val="00B97361"/>
    <w:rsid w:val="00BA0A5B"/>
    <w:rsid w:val="00BA16BC"/>
    <w:rsid w:val="00BA1DE0"/>
    <w:rsid w:val="00BA45DB"/>
    <w:rsid w:val="00BA505A"/>
    <w:rsid w:val="00BA5620"/>
    <w:rsid w:val="00BA68E9"/>
    <w:rsid w:val="00BB03F2"/>
    <w:rsid w:val="00BB086B"/>
    <w:rsid w:val="00BB1128"/>
    <w:rsid w:val="00BB3197"/>
    <w:rsid w:val="00BB3FA0"/>
    <w:rsid w:val="00BB6D1A"/>
    <w:rsid w:val="00BB7043"/>
    <w:rsid w:val="00BC03D8"/>
    <w:rsid w:val="00BC0649"/>
    <w:rsid w:val="00BC14DB"/>
    <w:rsid w:val="00BC3BD5"/>
    <w:rsid w:val="00BC4C95"/>
    <w:rsid w:val="00BC5D1B"/>
    <w:rsid w:val="00BC6DD7"/>
    <w:rsid w:val="00BC72C4"/>
    <w:rsid w:val="00BC7F3A"/>
    <w:rsid w:val="00BD0333"/>
    <w:rsid w:val="00BD043D"/>
    <w:rsid w:val="00BD0CE2"/>
    <w:rsid w:val="00BD0FDC"/>
    <w:rsid w:val="00BD1663"/>
    <w:rsid w:val="00BD1CC3"/>
    <w:rsid w:val="00BD1FEF"/>
    <w:rsid w:val="00BD2A4D"/>
    <w:rsid w:val="00BD320C"/>
    <w:rsid w:val="00BD504A"/>
    <w:rsid w:val="00BD5678"/>
    <w:rsid w:val="00BD5F05"/>
    <w:rsid w:val="00BD62A3"/>
    <w:rsid w:val="00BD7F7E"/>
    <w:rsid w:val="00BE1967"/>
    <w:rsid w:val="00BE1ED2"/>
    <w:rsid w:val="00BE4276"/>
    <w:rsid w:val="00BE4C8E"/>
    <w:rsid w:val="00BE7B91"/>
    <w:rsid w:val="00BF0484"/>
    <w:rsid w:val="00BF12C8"/>
    <w:rsid w:val="00BF31E8"/>
    <w:rsid w:val="00BF361E"/>
    <w:rsid w:val="00BF3AA4"/>
    <w:rsid w:val="00BF3ED2"/>
    <w:rsid w:val="00BF4181"/>
    <w:rsid w:val="00C0049E"/>
    <w:rsid w:val="00C009A9"/>
    <w:rsid w:val="00C00BF5"/>
    <w:rsid w:val="00C02874"/>
    <w:rsid w:val="00C032EE"/>
    <w:rsid w:val="00C04856"/>
    <w:rsid w:val="00C1140A"/>
    <w:rsid w:val="00C12A6A"/>
    <w:rsid w:val="00C13E96"/>
    <w:rsid w:val="00C143A6"/>
    <w:rsid w:val="00C15B7D"/>
    <w:rsid w:val="00C22E45"/>
    <w:rsid w:val="00C23A34"/>
    <w:rsid w:val="00C2539B"/>
    <w:rsid w:val="00C26622"/>
    <w:rsid w:val="00C26B7B"/>
    <w:rsid w:val="00C27744"/>
    <w:rsid w:val="00C27E96"/>
    <w:rsid w:val="00C31AD3"/>
    <w:rsid w:val="00C32010"/>
    <w:rsid w:val="00C32DF9"/>
    <w:rsid w:val="00C33229"/>
    <w:rsid w:val="00C34ACF"/>
    <w:rsid w:val="00C34B62"/>
    <w:rsid w:val="00C3564B"/>
    <w:rsid w:val="00C3578C"/>
    <w:rsid w:val="00C35BA0"/>
    <w:rsid w:val="00C36316"/>
    <w:rsid w:val="00C36C13"/>
    <w:rsid w:val="00C36FAA"/>
    <w:rsid w:val="00C37566"/>
    <w:rsid w:val="00C378E7"/>
    <w:rsid w:val="00C37B97"/>
    <w:rsid w:val="00C40B31"/>
    <w:rsid w:val="00C41D61"/>
    <w:rsid w:val="00C431FB"/>
    <w:rsid w:val="00C44AE4"/>
    <w:rsid w:val="00C44FE0"/>
    <w:rsid w:val="00C45B81"/>
    <w:rsid w:val="00C464F7"/>
    <w:rsid w:val="00C46823"/>
    <w:rsid w:val="00C46CE8"/>
    <w:rsid w:val="00C46EE2"/>
    <w:rsid w:val="00C51342"/>
    <w:rsid w:val="00C51AEF"/>
    <w:rsid w:val="00C5315D"/>
    <w:rsid w:val="00C55BDF"/>
    <w:rsid w:val="00C575EE"/>
    <w:rsid w:val="00C61316"/>
    <w:rsid w:val="00C62A7C"/>
    <w:rsid w:val="00C62E67"/>
    <w:rsid w:val="00C63EC0"/>
    <w:rsid w:val="00C65468"/>
    <w:rsid w:val="00C6598C"/>
    <w:rsid w:val="00C65A9F"/>
    <w:rsid w:val="00C669EA"/>
    <w:rsid w:val="00C66A9D"/>
    <w:rsid w:val="00C671B6"/>
    <w:rsid w:val="00C702C3"/>
    <w:rsid w:val="00C70F58"/>
    <w:rsid w:val="00C7141C"/>
    <w:rsid w:val="00C72CC9"/>
    <w:rsid w:val="00C7457B"/>
    <w:rsid w:val="00C74911"/>
    <w:rsid w:val="00C74BB7"/>
    <w:rsid w:val="00C755E4"/>
    <w:rsid w:val="00C77376"/>
    <w:rsid w:val="00C77844"/>
    <w:rsid w:val="00C77E90"/>
    <w:rsid w:val="00C82652"/>
    <w:rsid w:val="00C87087"/>
    <w:rsid w:val="00C87789"/>
    <w:rsid w:val="00C87D00"/>
    <w:rsid w:val="00C901D0"/>
    <w:rsid w:val="00C9078D"/>
    <w:rsid w:val="00C916C7"/>
    <w:rsid w:val="00C91F09"/>
    <w:rsid w:val="00C92390"/>
    <w:rsid w:val="00C92942"/>
    <w:rsid w:val="00C93B46"/>
    <w:rsid w:val="00C94A1C"/>
    <w:rsid w:val="00C94C59"/>
    <w:rsid w:val="00C956A3"/>
    <w:rsid w:val="00C95A3F"/>
    <w:rsid w:val="00C95C62"/>
    <w:rsid w:val="00C96230"/>
    <w:rsid w:val="00C96A23"/>
    <w:rsid w:val="00C978B7"/>
    <w:rsid w:val="00CA00B9"/>
    <w:rsid w:val="00CA0E5F"/>
    <w:rsid w:val="00CA136B"/>
    <w:rsid w:val="00CA354C"/>
    <w:rsid w:val="00CA3FC4"/>
    <w:rsid w:val="00CA3FD3"/>
    <w:rsid w:val="00CA6470"/>
    <w:rsid w:val="00CB1D6F"/>
    <w:rsid w:val="00CB1E6C"/>
    <w:rsid w:val="00CB31EF"/>
    <w:rsid w:val="00CB3750"/>
    <w:rsid w:val="00CB7487"/>
    <w:rsid w:val="00CB74E7"/>
    <w:rsid w:val="00CB7D11"/>
    <w:rsid w:val="00CC202A"/>
    <w:rsid w:val="00CC42D7"/>
    <w:rsid w:val="00CC50B5"/>
    <w:rsid w:val="00CC5BE2"/>
    <w:rsid w:val="00CC60B3"/>
    <w:rsid w:val="00CC6133"/>
    <w:rsid w:val="00CD219C"/>
    <w:rsid w:val="00CD64CA"/>
    <w:rsid w:val="00CD6B94"/>
    <w:rsid w:val="00CD7152"/>
    <w:rsid w:val="00CD7B50"/>
    <w:rsid w:val="00CE022E"/>
    <w:rsid w:val="00CE1739"/>
    <w:rsid w:val="00CE2905"/>
    <w:rsid w:val="00CE2B1A"/>
    <w:rsid w:val="00CE50B1"/>
    <w:rsid w:val="00CE5155"/>
    <w:rsid w:val="00CE6284"/>
    <w:rsid w:val="00CE67B6"/>
    <w:rsid w:val="00CE70FD"/>
    <w:rsid w:val="00CF105D"/>
    <w:rsid w:val="00CF17F2"/>
    <w:rsid w:val="00CF215E"/>
    <w:rsid w:val="00CF2B4C"/>
    <w:rsid w:val="00CF3D67"/>
    <w:rsid w:val="00CF4128"/>
    <w:rsid w:val="00CF51A0"/>
    <w:rsid w:val="00CF7819"/>
    <w:rsid w:val="00CF7A58"/>
    <w:rsid w:val="00CF7B1B"/>
    <w:rsid w:val="00D011AB"/>
    <w:rsid w:val="00D0160E"/>
    <w:rsid w:val="00D01C41"/>
    <w:rsid w:val="00D01ED9"/>
    <w:rsid w:val="00D03917"/>
    <w:rsid w:val="00D03F5C"/>
    <w:rsid w:val="00D05698"/>
    <w:rsid w:val="00D05D47"/>
    <w:rsid w:val="00D110FF"/>
    <w:rsid w:val="00D1144E"/>
    <w:rsid w:val="00D11BAC"/>
    <w:rsid w:val="00D12DDF"/>
    <w:rsid w:val="00D157C0"/>
    <w:rsid w:val="00D15857"/>
    <w:rsid w:val="00D15F00"/>
    <w:rsid w:val="00D174B0"/>
    <w:rsid w:val="00D20666"/>
    <w:rsid w:val="00D20F60"/>
    <w:rsid w:val="00D2140A"/>
    <w:rsid w:val="00D21D02"/>
    <w:rsid w:val="00D21DA8"/>
    <w:rsid w:val="00D21E2D"/>
    <w:rsid w:val="00D22765"/>
    <w:rsid w:val="00D2341F"/>
    <w:rsid w:val="00D24FC6"/>
    <w:rsid w:val="00D26A87"/>
    <w:rsid w:val="00D2726B"/>
    <w:rsid w:val="00D27BA4"/>
    <w:rsid w:val="00D31191"/>
    <w:rsid w:val="00D3312D"/>
    <w:rsid w:val="00D34426"/>
    <w:rsid w:val="00D35C5D"/>
    <w:rsid w:val="00D36C03"/>
    <w:rsid w:val="00D37D3F"/>
    <w:rsid w:val="00D424A6"/>
    <w:rsid w:val="00D425B6"/>
    <w:rsid w:val="00D43F41"/>
    <w:rsid w:val="00D44122"/>
    <w:rsid w:val="00D44475"/>
    <w:rsid w:val="00D444F0"/>
    <w:rsid w:val="00D466BF"/>
    <w:rsid w:val="00D46CAD"/>
    <w:rsid w:val="00D50C46"/>
    <w:rsid w:val="00D50FE8"/>
    <w:rsid w:val="00D51910"/>
    <w:rsid w:val="00D519A2"/>
    <w:rsid w:val="00D54304"/>
    <w:rsid w:val="00D54987"/>
    <w:rsid w:val="00D555DF"/>
    <w:rsid w:val="00D55840"/>
    <w:rsid w:val="00D566F8"/>
    <w:rsid w:val="00D56C0F"/>
    <w:rsid w:val="00D6102F"/>
    <w:rsid w:val="00D6108E"/>
    <w:rsid w:val="00D625A1"/>
    <w:rsid w:val="00D625BE"/>
    <w:rsid w:val="00D62C37"/>
    <w:rsid w:val="00D63B28"/>
    <w:rsid w:val="00D646B8"/>
    <w:rsid w:val="00D65385"/>
    <w:rsid w:val="00D6545D"/>
    <w:rsid w:val="00D65A50"/>
    <w:rsid w:val="00D66C2D"/>
    <w:rsid w:val="00D66E14"/>
    <w:rsid w:val="00D672D1"/>
    <w:rsid w:val="00D676EA"/>
    <w:rsid w:val="00D729BE"/>
    <w:rsid w:val="00D72F36"/>
    <w:rsid w:val="00D73F60"/>
    <w:rsid w:val="00D759F6"/>
    <w:rsid w:val="00D76E2F"/>
    <w:rsid w:val="00D776B8"/>
    <w:rsid w:val="00D77911"/>
    <w:rsid w:val="00D77C79"/>
    <w:rsid w:val="00D812F7"/>
    <w:rsid w:val="00D81B98"/>
    <w:rsid w:val="00D82FB0"/>
    <w:rsid w:val="00D83A14"/>
    <w:rsid w:val="00D84045"/>
    <w:rsid w:val="00D85CEA"/>
    <w:rsid w:val="00D86245"/>
    <w:rsid w:val="00D868F6"/>
    <w:rsid w:val="00D879F5"/>
    <w:rsid w:val="00D923DB"/>
    <w:rsid w:val="00D92460"/>
    <w:rsid w:val="00D94908"/>
    <w:rsid w:val="00D9537C"/>
    <w:rsid w:val="00D956DC"/>
    <w:rsid w:val="00D96469"/>
    <w:rsid w:val="00DA1C47"/>
    <w:rsid w:val="00DA45BC"/>
    <w:rsid w:val="00DA5166"/>
    <w:rsid w:val="00DA6A9D"/>
    <w:rsid w:val="00DA735A"/>
    <w:rsid w:val="00DA765B"/>
    <w:rsid w:val="00DB00DF"/>
    <w:rsid w:val="00DB0459"/>
    <w:rsid w:val="00DB1442"/>
    <w:rsid w:val="00DB2704"/>
    <w:rsid w:val="00DB2740"/>
    <w:rsid w:val="00DB28C3"/>
    <w:rsid w:val="00DB3104"/>
    <w:rsid w:val="00DB3E1D"/>
    <w:rsid w:val="00DB4061"/>
    <w:rsid w:val="00DB41FE"/>
    <w:rsid w:val="00DB474C"/>
    <w:rsid w:val="00DC1D64"/>
    <w:rsid w:val="00DC2591"/>
    <w:rsid w:val="00DC29D8"/>
    <w:rsid w:val="00DC31AC"/>
    <w:rsid w:val="00DC33C0"/>
    <w:rsid w:val="00DC649F"/>
    <w:rsid w:val="00DC6E07"/>
    <w:rsid w:val="00DC7189"/>
    <w:rsid w:val="00DC7628"/>
    <w:rsid w:val="00DC7B39"/>
    <w:rsid w:val="00DD07F7"/>
    <w:rsid w:val="00DD18A4"/>
    <w:rsid w:val="00DD1B1C"/>
    <w:rsid w:val="00DD425C"/>
    <w:rsid w:val="00DD43A1"/>
    <w:rsid w:val="00DD5E9B"/>
    <w:rsid w:val="00DD6C23"/>
    <w:rsid w:val="00DD722E"/>
    <w:rsid w:val="00DE08A0"/>
    <w:rsid w:val="00DE2489"/>
    <w:rsid w:val="00DE3923"/>
    <w:rsid w:val="00DE3929"/>
    <w:rsid w:val="00DE3E61"/>
    <w:rsid w:val="00DE4034"/>
    <w:rsid w:val="00DE594C"/>
    <w:rsid w:val="00DE628B"/>
    <w:rsid w:val="00DE6AF4"/>
    <w:rsid w:val="00DE76D5"/>
    <w:rsid w:val="00DE79AD"/>
    <w:rsid w:val="00DF1F12"/>
    <w:rsid w:val="00DF2FFE"/>
    <w:rsid w:val="00DF45AC"/>
    <w:rsid w:val="00DF5006"/>
    <w:rsid w:val="00DF56F3"/>
    <w:rsid w:val="00DF6DA7"/>
    <w:rsid w:val="00DF75AE"/>
    <w:rsid w:val="00E003A2"/>
    <w:rsid w:val="00E00A68"/>
    <w:rsid w:val="00E02B9D"/>
    <w:rsid w:val="00E05E17"/>
    <w:rsid w:val="00E1284A"/>
    <w:rsid w:val="00E1323D"/>
    <w:rsid w:val="00E144E2"/>
    <w:rsid w:val="00E14E77"/>
    <w:rsid w:val="00E15EFF"/>
    <w:rsid w:val="00E16456"/>
    <w:rsid w:val="00E21667"/>
    <w:rsid w:val="00E225E3"/>
    <w:rsid w:val="00E229AB"/>
    <w:rsid w:val="00E2409F"/>
    <w:rsid w:val="00E24730"/>
    <w:rsid w:val="00E255E8"/>
    <w:rsid w:val="00E25825"/>
    <w:rsid w:val="00E2793D"/>
    <w:rsid w:val="00E30464"/>
    <w:rsid w:val="00E308CE"/>
    <w:rsid w:val="00E30AC3"/>
    <w:rsid w:val="00E3310F"/>
    <w:rsid w:val="00E34CE0"/>
    <w:rsid w:val="00E35923"/>
    <w:rsid w:val="00E37332"/>
    <w:rsid w:val="00E37AB0"/>
    <w:rsid w:val="00E37B6B"/>
    <w:rsid w:val="00E37B71"/>
    <w:rsid w:val="00E414C6"/>
    <w:rsid w:val="00E4286D"/>
    <w:rsid w:val="00E42F1C"/>
    <w:rsid w:val="00E4354E"/>
    <w:rsid w:val="00E446B8"/>
    <w:rsid w:val="00E44943"/>
    <w:rsid w:val="00E44AE0"/>
    <w:rsid w:val="00E44BFE"/>
    <w:rsid w:val="00E452BD"/>
    <w:rsid w:val="00E45D23"/>
    <w:rsid w:val="00E45EC6"/>
    <w:rsid w:val="00E461B4"/>
    <w:rsid w:val="00E473D1"/>
    <w:rsid w:val="00E501E3"/>
    <w:rsid w:val="00E5594C"/>
    <w:rsid w:val="00E6043C"/>
    <w:rsid w:val="00E6191E"/>
    <w:rsid w:val="00E61C16"/>
    <w:rsid w:val="00E63668"/>
    <w:rsid w:val="00E63E9E"/>
    <w:rsid w:val="00E66CD4"/>
    <w:rsid w:val="00E67A39"/>
    <w:rsid w:val="00E67A65"/>
    <w:rsid w:val="00E70D33"/>
    <w:rsid w:val="00E71713"/>
    <w:rsid w:val="00E72298"/>
    <w:rsid w:val="00E72ED3"/>
    <w:rsid w:val="00E74A85"/>
    <w:rsid w:val="00E75AEC"/>
    <w:rsid w:val="00E775DA"/>
    <w:rsid w:val="00E77927"/>
    <w:rsid w:val="00E82894"/>
    <w:rsid w:val="00E84458"/>
    <w:rsid w:val="00E84A62"/>
    <w:rsid w:val="00E863FE"/>
    <w:rsid w:val="00E87AB2"/>
    <w:rsid w:val="00E90308"/>
    <w:rsid w:val="00E90C8D"/>
    <w:rsid w:val="00E944F5"/>
    <w:rsid w:val="00E94B3A"/>
    <w:rsid w:val="00E96079"/>
    <w:rsid w:val="00E96605"/>
    <w:rsid w:val="00E97D61"/>
    <w:rsid w:val="00E97DAC"/>
    <w:rsid w:val="00EA0864"/>
    <w:rsid w:val="00EA1089"/>
    <w:rsid w:val="00EA1125"/>
    <w:rsid w:val="00EA16B9"/>
    <w:rsid w:val="00EA19BF"/>
    <w:rsid w:val="00EA24CB"/>
    <w:rsid w:val="00EA26DF"/>
    <w:rsid w:val="00EA27C1"/>
    <w:rsid w:val="00EA2D85"/>
    <w:rsid w:val="00EA3097"/>
    <w:rsid w:val="00EA3A44"/>
    <w:rsid w:val="00EA421C"/>
    <w:rsid w:val="00EA6D52"/>
    <w:rsid w:val="00EA704B"/>
    <w:rsid w:val="00EA7331"/>
    <w:rsid w:val="00EB1535"/>
    <w:rsid w:val="00EB160A"/>
    <w:rsid w:val="00EB21DC"/>
    <w:rsid w:val="00EB3376"/>
    <w:rsid w:val="00EB39D9"/>
    <w:rsid w:val="00EB4924"/>
    <w:rsid w:val="00EB4EA7"/>
    <w:rsid w:val="00EB6AE9"/>
    <w:rsid w:val="00EB7B24"/>
    <w:rsid w:val="00EC0CB3"/>
    <w:rsid w:val="00EC2FC6"/>
    <w:rsid w:val="00EC36CF"/>
    <w:rsid w:val="00EC3811"/>
    <w:rsid w:val="00EC46F3"/>
    <w:rsid w:val="00EC565B"/>
    <w:rsid w:val="00EC6E5A"/>
    <w:rsid w:val="00EC6FA3"/>
    <w:rsid w:val="00EC70A9"/>
    <w:rsid w:val="00EC7AD9"/>
    <w:rsid w:val="00ED0437"/>
    <w:rsid w:val="00ED08B3"/>
    <w:rsid w:val="00ED13DB"/>
    <w:rsid w:val="00ED3980"/>
    <w:rsid w:val="00ED4846"/>
    <w:rsid w:val="00ED4CAF"/>
    <w:rsid w:val="00ED670F"/>
    <w:rsid w:val="00ED782F"/>
    <w:rsid w:val="00EE182E"/>
    <w:rsid w:val="00EE2B95"/>
    <w:rsid w:val="00EE48DD"/>
    <w:rsid w:val="00EE7DE6"/>
    <w:rsid w:val="00EF2BDF"/>
    <w:rsid w:val="00EF420D"/>
    <w:rsid w:val="00EF4EA1"/>
    <w:rsid w:val="00EF5143"/>
    <w:rsid w:val="00EF65DE"/>
    <w:rsid w:val="00EF7794"/>
    <w:rsid w:val="00F00228"/>
    <w:rsid w:val="00F03BE7"/>
    <w:rsid w:val="00F05194"/>
    <w:rsid w:val="00F05EAD"/>
    <w:rsid w:val="00F0618A"/>
    <w:rsid w:val="00F0618C"/>
    <w:rsid w:val="00F06D83"/>
    <w:rsid w:val="00F075AE"/>
    <w:rsid w:val="00F07B70"/>
    <w:rsid w:val="00F120D4"/>
    <w:rsid w:val="00F12279"/>
    <w:rsid w:val="00F15DDD"/>
    <w:rsid w:val="00F170B5"/>
    <w:rsid w:val="00F17748"/>
    <w:rsid w:val="00F1783F"/>
    <w:rsid w:val="00F17952"/>
    <w:rsid w:val="00F21BA5"/>
    <w:rsid w:val="00F22A85"/>
    <w:rsid w:val="00F24BBF"/>
    <w:rsid w:val="00F24C56"/>
    <w:rsid w:val="00F25943"/>
    <w:rsid w:val="00F26CB6"/>
    <w:rsid w:val="00F27B6E"/>
    <w:rsid w:val="00F323DD"/>
    <w:rsid w:val="00F33C24"/>
    <w:rsid w:val="00F34318"/>
    <w:rsid w:val="00F34A2B"/>
    <w:rsid w:val="00F34FF7"/>
    <w:rsid w:val="00F35564"/>
    <w:rsid w:val="00F371D9"/>
    <w:rsid w:val="00F37BE3"/>
    <w:rsid w:val="00F4066A"/>
    <w:rsid w:val="00F42048"/>
    <w:rsid w:val="00F420FB"/>
    <w:rsid w:val="00F4246C"/>
    <w:rsid w:val="00F425AA"/>
    <w:rsid w:val="00F426BD"/>
    <w:rsid w:val="00F42FC1"/>
    <w:rsid w:val="00F43E58"/>
    <w:rsid w:val="00F464B4"/>
    <w:rsid w:val="00F46B02"/>
    <w:rsid w:val="00F47837"/>
    <w:rsid w:val="00F50488"/>
    <w:rsid w:val="00F509AF"/>
    <w:rsid w:val="00F50A82"/>
    <w:rsid w:val="00F5295F"/>
    <w:rsid w:val="00F534A6"/>
    <w:rsid w:val="00F54042"/>
    <w:rsid w:val="00F545F4"/>
    <w:rsid w:val="00F54838"/>
    <w:rsid w:val="00F5489C"/>
    <w:rsid w:val="00F5553F"/>
    <w:rsid w:val="00F60A6D"/>
    <w:rsid w:val="00F61DA1"/>
    <w:rsid w:val="00F6355F"/>
    <w:rsid w:val="00F6368D"/>
    <w:rsid w:val="00F65A4C"/>
    <w:rsid w:val="00F66E01"/>
    <w:rsid w:val="00F7139D"/>
    <w:rsid w:val="00F72499"/>
    <w:rsid w:val="00F734F4"/>
    <w:rsid w:val="00F75003"/>
    <w:rsid w:val="00F75054"/>
    <w:rsid w:val="00F76ACA"/>
    <w:rsid w:val="00F7708C"/>
    <w:rsid w:val="00F77AF0"/>
    <w:rsid w:val="00F81181"/>
    <w:rsid w:val="00F83FDA"/>
    <w:rsid w:val="00F844F2"/>
    <w:rsid w:val="00F86647"/>
    <w:rsid w:val="00F87A16"/>
    <w:rsid w:val="00F91E87"/>
    <w:rsid w:val="00F93866"/>
    <w:rsid w:val="00F939A7"/>
    <w:rsid w:val="00F96549"/>
    <w:rsid w:val="00F96686"/>
    <w:rsid w:val="00FA033A"/>
    <w:rsid w:val="00FA03FF"/>
    <w:rsid w:val="00FA161C"/>
    <w:rsid w:val="00FA1786"/>
    <w:rsid w:val="00FA2AE6"/>
    <w:rsid w:val="00FA5087"/>
    <w:rsid w:val="00FA50C9"/>
    <w:rsid w:val="00FB0194"/>
    <w:rsid w:val="00FB0635"/>
    <w:rsid w:val="00FB089A"/>
    <w:rsid w:val="00FB09E4"/>
    <w:rsid w:val="00FB348F"/>
    <w:rsid w:val="00FB409B"/>
    <w:rsid w:val="00FB48A7"/>
    <w:rsid w:val="00FB4BF7"/>
    <w:rsid w:val="00FB5240"/>
    <w:rsid w:val="00FB59EF"/>
    <w:rsid w:val="00FC0AE5"/>
    <w:rsid w:val="00FC0D47"/>
    <w:rsid w:val="00FC41CC"/>
    <w:rsid w:val="00FC4746"/>
    <w:rsid w:val="00FC6458"/>
    <w:rsid w:val="00FC706F"/>
    <w:rsid w:val="00FD01C4"/>
    <w:rsid w:val="00FD0477"/>
    <w:rsid w:val="00FD223F"/>
    <w:rsid w:val="00FD3230"/>
    <w:rsid w:val="00FD43C4"/>
    <w:rsid w:val="00FD519A"/>
    <w:rsid w:val="00FD539D"/>
    <w:rsid w:val="00FD55B4"/>
    <w:rsid w:val="00FD5C5A"/>
    <w:rsid w:val="00FD750B"/>
    <w:rsid w:val="00FE00D6"/>
    <w:rsid w:val="00FE1AE2"/>
    <w:rsid w:val="00FE2A5C"/>
    <w:rsid w:val="00FE3DBA"/>
    <w:rsid w:val="00FE5AA6"/>
    <w:rsid w:val="00FE6709"/>
    <w:rsid w:val="00FE79A3"/>
    <w:rsid w:val="00FF3106"/>
    <w:rsid w:val="00FF39CA"/>
    <w:rsid w:val="00FF4651"/>
    <w:rsid w:val="00FF4C3C"/>
    <w:rsid w:val="00FF5375"/>
    <w:rsid w:val="00FF558D"/>
    <w:rsid w:val="00FF765C"/>
    <w:rsid w:val="089E1AE0"/>
    <w:rsid w:val="0BF3BA2C"/>
    <w:rsid w:val="0EB9556A"/>
    <w:rsid w:val="113251EF"/>
    <w:rsid w:val="1DF2F773"/>
    <w:rsid w:val="1E60DD84"/>
    <w:rsid w:val="27887881"/>
    <w:rsid w:val="299EB3E3"/>
    <w:rsid w:val="4042CFD9"/>
    <w:rsid w:val="4E7F4958"/>
    <w:rsid w:val="50644723"/>
    <w:rsid w:val="5B156BDB"/>
    <w:rsid w:val="62961E02"/>
    <w:rsid w:val="63D818C5"/>
    <w:rsid w:val="65EDD78D"/>
    <w:rsid w:val="746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BCEFA"/>
  <w15:chartTrackingRefBased/>
  <w15:docId w15:val="{FFD6D3B6-DCE1-4D27-B2C5-311EB4B9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D0"/>
  </w:style>
  <w:style w:type="paragraph" w:styleId="Heading1">
    <w:name w:val="heading 1"/>
    <w:basedOn w:val="Normal"/>
    <w:next w:val="Normal"/>
    <w:link w:val="Heading1Char"/>
    <w:uiPriority w:val="9"/>
    <w:qFormat/>
    <w:rsid w:val="004865D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81325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5D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C1D3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5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C1D3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C1D3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C1D3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8132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5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8132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81325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81325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5D0"/>
    <w:rPr>
      <w:rFonts w:asciiTheme="majorHAnsi" w:eastAsiaTheme="majorEastAsia" w:hAnsiTheme="majorHAnsi" w:cstheme="majorBidi"/>
      <w:color w:val="081325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65D0"/>
    <w:rPr>
      <w:rFonts w:asciiTheme="majorHAnsi" w:eastAsiaTheme="majorEastAsia" w:hAnsiTheme="majorHAnsi" w:cstheme="majorBidi"/>
      <w:color w:val="0C1D3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65D0"/>
    <w:rPr>
      <w:rFonts w:asciiTheme="majorHAnsi" w:eastAsiaTheme="majorEastAsia" w:hAnsiTheme="majorHAnsi" w:cstheme="majorBidi"/>
      <w:color w:val="0C1D37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65D0"/>
    <w:rPr>
      <w:rFonts w:asciiTheme="majorHAnsi" w:eastAsiaTheme="majorEastAsia" w:hAnsiTheme="majorHAnsi" w:cstheme="majorBidi"/>
      <w:color w:val="0C1D3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5D0"/>
    <w:rPr>
      <w:rFonts w:asciiTheme="majorHAnsi" w:eastAsiaTheme="majorEastAsia" w:hAnsiTheme="majorHAnsi" w:cstheme="majorBidi"/>
      <w:caps/>
      <w:color w:val="0C1D3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865D0"/>
    <w:rPr>
      <w:rFonts w:asciiTheme="majorHAnsi" w:eastAsiaTheme="majorEastAsia" w:hAnsiTheme="majorHAnsi" w:cstheme="majorBidi"/>
      <w:i/>
      <w:iCs/>
      <w:caps/>
      <w:color w:val="08132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4865D0"/>
    <w:rPr>
      <w:rFonts w:asciiTheme="majorHAnsi" w:eastAsiaTheme="majorEastAsia" w:hAnsiTheme="majorHAnsi" w:cstheme="majorBidi"/>
      <w:b/>
      <w:bCs/>
      <w:color w:val="08132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5D0"/>
    <w:rPr>
      <w:rFonts w:asciiTheme="majorHAnsi" w:eastAsiaTheme="majorEastAsia" w:hAnsiTheme="majorHAnsi" w:cstheme="majorBidi"/>
      <w:b/>
      <w:bCs/>
      <w:i/>
      <w:iCs/>
      <w:color w:val="081325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5D0"/>
    <w:rPr>
      <w:rFonts w:asciiTheme="majorHAnsi" w:eastAsiaTheme="majorEastAsia" w:hAnsiTheme="majorHAnsi" w:cstheme="majorBidi"/>
      <w:i/>
      <w:iCs/>
      <w:color w:val="081325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65D0"/>
    <w:pPr>
      <w:spacing w:line="240" w:lineRule="auto"/>
    </w:pPr>
    <w:rPr>
      <w:b/>
      <w:bCs/>
      <w:smallCaps/>
      <w:color w:val="3E556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865D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E556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65D0"/>
    <w:rPr>
      <w:rFonts w:asciiTheme="majorHAnsi" w:eastAsiaTheme="majorEastAsia" w:hAnsiTheme="majorHAnsi" w:cstheme="majorBidi"/>
      <w:caps/>
      <w:color w:val="3E556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5D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1274B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65D0"/>
    <w:rPr>
      <w:rFonts w:asciiTheme="majorHAnsi" w:eastAsiaTheme="majorEastAsia" w:hAnsiTheme="majorHAnsi" w:cstheme="majorBidi"/>
      <w:color w:val="11274B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865D0"/>
    <w:rPr>
      <w:b/>
      <w:bCs/>
    </w:rPr>
  </w:style>
  <w:style w:type="character" w:styleId="Emphasis">
    <w:name w:val="Emphasis"/>
    <w:basedOn w:val="DefaultParagraphFont"/>
    <w:uiPriority w:val="20"/>
    <w:qFormat/>
    <w:rsid w:val="004865D0"/>
    <w:rPr>
      <w:i/>
      <w:iCs/>
    </w:rPr>
  </w:style>
  <w:style w:type="paragraph" w:styleId="NoSpacing">
    <w:name w:val="No Spacing"/>
    <w:uiPriority w:val="1"/>
    <w:qFormat/>
    <w:rsid w:val="004865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65D0"/>
    <w:pPr>
      <w:spacing w:before="120" w:after="120"/>
      <w:ind w:left="720"/>
    </w:pPr>
    <w:rPr>
      <w:color w:val="3E556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65D0"/>
    <w:rPr>
      <w:color w:val="3E556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5D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E556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5D0"/>
    <w:rPr>
      <w:rFonts w:asciiTheme="majorHAnsi" w:eastAsiaTheme="majorEastAsia" w:hAnsiTheme="majorHAnsi" w:cstheme="majorBidi"/>
      <w:color w:val="3E556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865D0"/>
    <w:rPr>
      <w:i/>
      <w:iCs/>
      <w:color w:val="2C64C1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65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65D0"/>
    <w:rPr>
      <w:smallCaps/>
      <w:color w:val="2C64C1" w:themeColor="text1" w:themeTint="A6"/>
      <w:u w:val="none" w:color="5385D8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865D0"/>
    <w:rPr>
      <w:b/>
      <w:bCs/>
      <w:smallCaps/>
      <w:color w:val="3E556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865D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4865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6A"/>
  </w:style>
  <w:style w:type="paragraph" w:styleId="Footer">
    <w:name w:val="footer"/>
    <w:basedOn w:val="Normal"/>
    <w:link w:val="FooterChar"/>
    <w:uiPriority w:val="99"/>
    <w:unhideWhenUsed/>
    <w:rsid w:val="0022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6A"/>
  </w:style>
  <w:style w:type="paragraph" w:styleId="TOC3">
    <w:name w:val="toc 3"/>
    <w:basedOn w:val="Normal"/>
    <w:next w:val="Normal"/>
    <w:autoRedefine/>
    <w:uiPriority w:val="39"/>
    <w:unhideWhenUsed/>
    <w:rsid w:val="008209F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209F2"/>
    <w:rPr>
      <w:color w:val="7E9BA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209F2"/>
    <w:pPr>
      <w:spacing w:after="100"/>
    </w:pPr>
  </w:style>
  <w:style w:type="paragraph" w:styleId="CommentText">
    <w:name w:val="annotation text"/>
    <w:basedOn w:val="Normal"/>
    <w:link w:val="CommentTextChar"/>
    <w:uiPriority w:val="99"/>
    <w:unhideWhenUsed/>
    <w:rsid w:val="00E67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A6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7A65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D110FF"/>
    <w:pPr>
      <w:spacing w:after="100"/>
      <w:ind w:left="220"/>
    </w:pPr>
    <w:rPr>
      <w:rFonts w:eastAsiaTheme="minorEastAsi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80D7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80D7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32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78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0D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D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5.xml"/><Relationship Id="rId3" Type="http://schemas.openxmlformats.org/officeDocument/2006/relationships/customXml" Target="../customXml/item3.xml"/><Relationship Id="rId21" Type="http://schemas.openxmlformats.org/officeDocument/2006/relationships/chart" Target="charts/chart10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4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5.bin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cciwao365.sharepoint.com/sites/HDMS/Eco/Economics%20Documents/5.%20Projects/A.%20Static%20Projects/IR%20Survey/IR%20Reform%20Survey%20-%20Headline%20Dat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r>
              <a:rPr lang="en-AU" sz="1400" b="1">
                <a:solidFill>
                  <a:srgbClr val="11274B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Are you worried by any aspect of the Federal Government’s industrial relations legislation?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7158981834402715E-2"/>
          <c:y val="0.29513428091033544"/>
          <c:w val="0.90058507481708949"/>
          <c:h val="0.61127573755730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'Question 14'!$B$3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11274B"/>
            </a:solidFill>
            <a:ln>
              <a:prstDash val="solid"/>
            </a:ln>
          </c:spPr>
          <c:invertIfNegative val="0"/>
          <c:cat>
            <c:strRef>
              <c:f>'Question 14'!$A$4:$A$6</c:f>
              <c:strCache>
                <c:ptCount val="3"/>
                <c:pt idx="0">
                  <c:v>Small </c:v>
                </c:pt>
                <c:pt idx="1">
                  <c:v>Medium</c:v>
                </c:pt>
                <c:pt idx="2">
                  <c:v>Large</c:v>
                </c:pt>
              </c:strCache>
            </c:strRef>
          </c:cat>
          <c:val>
            <c:numRef>
              <c:f>'Question 14'!$B$4:$B$6</c:f>
              <c:numCache>
                <c:formatCode>0.00%</c:formatCode>
                <c:ptCount val="3"/>
                <c:pt idx="0">
                  <c:v>0.92680000000000007</c:v>
                </c:pt>
                <c:pt idx="1">
                  <c:v>0.89230000000000009</c:v>
                </c:pt>
                <c:pt idx="2">
                  <c:v>0.96299999999999997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27-445A-8166-1745DE4B0DCD}"/>
            </c:ext>
          </c:extLst>
        </c:ser>
        <c:ser>
          <c:idx val="1"/>
          <c:order val="1"/>
          <c:tx>
            <c:strRef>
              <c:f>'Question 14'!$D$3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C000"/>
            </a:solidFill>
            <a:ln>
              <a:prstDash val="solid"/>
            </a:ln>
          </c:spPr>
          <c:invertIfNegative val="0"/>
          <c:cat>
            <c:strRef>
              <c:f>'Question 14'!$A$4:$A$6</c:f>
              <c:strCache>
                <c:ptCount val="3"/>
                <c:pt idx="0">
                  <c:v>Small </c:v>
                </c:pt>
                <c:pt idx="1">
                  <c:v>Medium</c:v>
                </c:pt>
                <c:pt idx="2">
                  <c:v>Large</c:v>
                </c:pt>
              </c:strCache>
            </c:strRef>
          </c:cat>
          <c:val>
            <c:numRef>
              <c:f>'Question 14'!$D$4:$D$6</c:f>
              <c:numCache>
                <c:formatCode>0.00%</c:formatCode>
                <c:ptCount val="3"/>
                <c:pt idx="0">
                  <c:v>7.3200000000000001E-2</c:v>
                </c:pt>
                <c:pt idx="1">
                  <c:v>0.1077</c:v>
                </c:pt>
                <c:pt idx="2">
                  <c:v>3.7000000000000012E-2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27-445A-8166-1745DE4B0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  <c:max val="1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</a:defRPr>
            </a:pPr>
            <a:endParaRPr lang="en-US"/>
          </a:p>
        </c:txPr>
        <c:crossAx val="10"/>
        <c:crosses val="autoZero"/>
        <c:crossBetween val="between"/>
        <c:majorUnit val="0.2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crossAx val="100"/>
        <c:crosses val="autoZero"/>
        <c:auto val="0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44372663583971589"/>
          <c:y val="0.22385872711068638"/>
          <c:w val="0.11664300027012753"/>
          <c:h val="7.091338582677166E-2"/>
        </c:manualLayout>
      </c:layout>
      <c:overlay val="1"/>
    </c:legend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r>
              <a:rPr lang="en-AU" sz="1400" b="1">
                <a:solidFill>
                  <a:srgbClr val="11274B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What would you be forced to do in response to limits to fixed-term contracts?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8'!$B$3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11274B"/>
            </a:solidFill>
            <a:ln>
              <a:prstDash val="solid"/>
            </a:ln>
          </c:spPr>
          <c:invertIfNegative val="0"/>
          <c:cat>
            <c:strRef>
              <c:f>'Question 8'!$A$4:$A$9</c:f>
              <c:strCache>
                <c:ptCount val="6"/>
                <c:pt idx="0">
                  <c:v>Employ fewer staff</c:v>
                </c:pt>
                <c:pt idx="1">
                  <c:v>Scale down the business</c:v>
                </c:pt>
                <c:pt idx="2">
                  <c:v>Invest more in automation</c:v>
                </c:pt>
                <c:pt idx="3">
                  <c:v>Invest or shift resources overseas</c:v>
                </c:pt>
                <c:pt idx="4">
                  <c:v>Other</c:v>
                </c:pt>
                <c:pt idx="5">
                  <c:v>Close the business</c:v>
                </c:pt>
              </c:strCache>
            </c:strRef>
          </c:cat>
          <c:val>
            <c:numRef>
              <c:f>'Question 8'!$B$4:$B$9</c:f>
              <c:numCache>
                <c:formatCode>0.00%</c:formatCode>
                <c:ptCount val="6"/>
                <c:pt idx="0">
                  <c:v>0.62070000000000003</c:v>
                </c:pt>
                <c:pt idx="1">
                  <c:v>0.3931</c:v>
                </c:pt>
                <c:pt idx="2">
                  <c:v>0.2069</c:v>
                </c:pt>
                <c:pt idx="3">
                  <c:v>0.15859999999999999</c:v>
                </c:pt>
                <c:pt idx="4">
                  <c:v>0.1241</c:v>
                </c:pt>
                <c:pt idx="5">
                  <c:v>0.10340000000000001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2-43C0-AC9B-E3BB4781B1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AU" sz="2000" b="1" i="0" u="none" strike="noStrike" kern="1200" spc="0" baseline="0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defRPr>
            </a:pPr>
            <a:r>
              <a:rPr lang="en-AU" sz="1400" b="1" i="0" u="none" strike="noStrike" kern="1200" spc="0" baseline="0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rPr>
              <a:t>Concern by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AU" sz="2000" b="1" i="0" u="none" strike="noStrike" kern="1200" spc="0" baseline="0">
              <a:solidFill>
                <a:srgbClr val="11274B"/>
              </a:solidFill>
              <a:latin typeface="Open Sans Condensed" panose="020B0806030504020204" pitchFamily="34" charset="0"/>
              <a:ea typeface="Open Sans Condensed" panose="020B0806030504020204" pitchFamily="34" charset="0"/>
              <a:cs typeface="Open Sans Condensed" panose="020B0806030504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'Question 7'!$A$4:$A$12</c:f>
              <c:strCache>
                <c:ptCount val="9"/>
                <c:pt idx="0">
                  <c:v>Transport</c:v>
                </c:pt>
                <c:pt idx="1">
                  <c:v>Manufacturing</c:v>
                </c:pt>
                <c:pt idx="2">
                  <c:v>Retail, accom, food</c:v>
                </c:pt>
                <c:pt idx="3">
                  <c:v>Resources</c:v>
                </c:pt>
                <c:pt idx="4">
                  <c:v>Construction</c:v>
                </c:pt>
                <c:pt idx="5">
                  <c:v>Real estate</c:v>
                </c:pt>
                <c:pt idx="6">
                  <c:v>Health &amp; social ass.</c:v>
                </c:pt>
                <c:pt idx="7">
                  <c:v>Agriculture</c:v>
                </c:pt>
                <c:pt idx="8">
                  <c:v>Education &amp; training</c:v>
                </c:pt>
              </c:strCache>
            </c:strRef>
          </c:cat>
          <c:val>
            <c:numRef>
              <c:f>'Question 7'!$N$4:$N$12</c:f>
              <c:numCache>
                <c:formatCode>0%</c:formatCode>
                <c:ptCount val="9"/>
                <c:pt idx="0">
                  <c:v>0.625</c:v>
                </c:pt>
                <c:pt idx="1">
                  <c:v>0.59319999999999995</c:v>
                </c:pt>
                <c:pt idx="2">
                  <c:v>0.5714285714285714</c:v>
                </c:pt>
                <c:pt idx="3">
                  <c:v>0.52380000000000004</c:v>
                </c:pt>
                <c:pt idx="4">
                  <c:v>0.5161</c:v>
                </c:pt>
                <c:pt idx="5">
                  <c:v>0.5</c:v>
                </c:pt>
                <c:pt idx="6">
                  <c:v>0.47059999999999996</c:v>
                </c:pt>
                <c:pt idx="7">
                  <c:v>0.46660000000000001</c:v>
                </c:pt>
                <c:pt idx="8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8-4BF2-B054-D8159B83D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624079"/>
        <c:axId val="299627407"/>
      </c:barChart>
      <c:catAx>
        <c:axId val="299624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rgbClr val="11274B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9627407"/>
        <c:crosses val="autoZero"/>
        <c:auto val="1"/>
        <c:lblAlgn val="ctr"/>
        <c:lblOffset val="100"/>
        <c:noMultiLvlLbl val="0"/>
      </c:catAx>
      <c:valAx>
        <c:axId val="299627407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 w="15875">
            <a:solidFill>
              <a:srgbClr val="11274B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9624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en-US" sz="1000" b="0" i="0" u="none" strike="noStrike" kern="1200" baseline="0">
          <a:solidFill>
            <a:schemeClr val="tx1"/>
          </a:solidFill>
          <a:latin typeface="+mn-lt"/>
          <a:ea typeface="+mn-ea"/>
          <a:cs typeface="+mn-cs"/>
        </a:defRPr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r>
              <a:rPr lang="en-AU" sz="1400" b="1">
                <a:solidFill>
                  <a:srgbClr val="11274B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What impact would being compelled to immediately bargain on a new agreement have on your business?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11'!$B$3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11274B"/>
            </a:solidFill>
            <a:ln>
              <a:prstDash val="solid"/>
            </a:ln>
          </c:spPr>
          <c:invertIfNegative val="0"/>
          <c:cat>
            <c:strRef>
              <c:f>'Question 11'!$A$4:$A$8</c:f>
              <c:strCache>
                <c:ptCount val="5"/>
                <c:pt idx="0">
                  <c:v>Extremely damaging</c:v>
                </c:pt>
                <c:pt idx="1">
                  <c:v>Damaging</c:v>
                </c:pt>
                <c:pt idx="2">
                  <c:v>No impact</c:v>
                </c:pt>
                <c:pt idx="3">
                  <c:v>Positive</c:v>
                </c:pt>
                <c:pt idx="4">
                  <c:v>Extremely positive</c:v>
                </c:pt>
              </c:strCache>
            </c:strRef>
          </c:cat>
          <c:val>
            <c:numRef>
              <c:f>'Question 11'!$B$4:$B$8</c:f>
              <c:numCache>
                <c:formatCode>0.00%</c:formatCode>
                <c:ptCount val="5"/>
                <c:pt idx="0">
                  <c:v>0.40820000000000001</c:v>
                </c:pt>
                <c:pt idx="1">
                  <c:v>0.3306</c:v>
                </c:pt>
                <c:pt idx="2">
                  <c:v>0.24490000000000001</c:v>
                </c:pt>
                <c:pt idx="3">
                  <c:v>1.6299999999999999E-2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6C-4500-82EF-2524150090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  <c:max val="0.5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"/>
        <c:crosses val="autoZero"/>
        <c:crossBetween val="between"/>
        <c:majorUnit val="0.1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r>
              <a:rPr lang="en-AU" sz="1400" b="1">
                <a:solidFill>
                  <a:srgbClr val="11274B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What would you be forced to do in response to being compelled to immediately bargain on a new agreement?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12'!$B$3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11274B"/>
            </a:solidFill>
            <a:ln>
              <a:prstDash val="solid"/>
            </a:ln>
          </c:spPr>
          <c:invertIfNegative val="0"/>
          <c:cat>
            <c:strRef>
              <c:f>'Question 12'!$A$4:$A$9</c:f>
              <c:strCache>
                <c:ptCount val="6"/>
                <c:pt idx="0">
                  <c:v>Employ fewer staff</c:v>
                </c:pt>
                <c:pt idx="1">
                  <c:v>Scale down the business</c:v>
                </c:pt>
                <c:pt idx="2">
                  <c:v>Invest more in automation</c:v>
                </c:pt>
                <c:pt idx="3">
                  <c:v>Invest or shift resources overseas</c:v>
                </c:pt>
                <c:pt idx="4">
                  <c:v>Other</c:v>
                </c:pt>
                <c:pt idx="5">
                  <c:v>Close the business</c:v>
                </c:pt>
              </c:strCache>
            </c:strRef>
          </c:cat>
          <c:val>
            <c:numRef>
              <c:f>'Question 12'!$B$4:$B$9</c:f>
              <c:numCache>
                <c:formatCode>0.00%</c:formatCode>
                <c:ptCount val="6"/>
                <c:pt idx="0">
                  <c:v>0.6</c:v>
                </c:pt>
                <c:pt idx="1">
                  <c:v>0.4556</c:v>
                </c:pt>
                <c:pt idx="2">
                  <c:v>0.2833</c:v>
                </c:pt>
                <c:pt idx="3">
                  <c:v>0.18890000000000001</c:v>
                </c:pt>
                <c:pt idx="4">
                  <c:v>0.17780000000000001</c:v>
                </c:pt>
                <c:pt idx="5">
                  <c:v>0.1278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E-406D-A5BB-D01D0AD87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AU" sz="2000" b="1" i="0" u="none" strike="noStrike" kern="1200" spc="0" baseline="0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defRPr>
            </a:pPr>
            <a:r>
              <a:rPr lang="en-AU" sz="1400" b="1" i="0" u="none" strike="noStrike" kern="1200" spc="0" baseline="0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rPr>
              <a:t>Concern by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AU" sz="2000" b="1" i="0" u="none" strike="noStrike" kern="1200" spc="0" baseline="0">
              <a:solidFill>
                <a:srgbClr val="11274B"/>
              </a:solidFill>
              <a:latin typeface="Open Sans Condensed" panose="020B0806030504020204" pitchFamily="34" charset="0"/>
              <a:ea typeface="Open Sans Condensed" panose="020B0806030504020204" pitchFamily="34" charset="0"/>
              <a:cs typeface="Open Sans Condensed" panose="020B0806030504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'Question 11'!$A$4:$A$12</c:f>
              <c:strCache>
                <c:ptCount val="9"/>
                <c:pt idx="0">
                  <c:v>Agriculture</c:v>
                </c:pt>
                <c:pt idx="1">
                  <c:v>Manufacturing</c:v>
                </c:pt>
                <c:pt idx="2">
                  <c:v>Real estate</c:v>
                </c:pt>
                <c:pt idx="3">
                  <c:v>Resources</c:v>
                </c:pt>
                <c:pt idx="4">
                  <c:v>Transport</c:v>
                </c:pt>
                <c:pt idx="5">
                  <c:v>Construction</c:v>
                </c:pt>
                <c:pt idx="6">
                  <c:v>Education &amp; training</c:v>
                </c:pt>
                <c:pt idx="7">
                  <c:v>Health &amp; social ass.</c:v>
                </c:pt>
                <c:pt idx="8">
                  <c:v>Retail, accom, food</c:v>
                </c:pt>
              </c:strCache>
            </c:strRef>
          </c:cat>
          <c:val>
            <c:numRef>
              <c:f>'Question 11'!$N$4:$N$12</c:f>
              <c:numCache>
                <c:formatCode>0%</c:formatCode>
                <c:ptCount val="9"/>
                <c:pt idx="0">
                  <c:v>0.86660000000000004</c:v>
                </c:pt>
                <c:pt idx="1">
                  <c:v>0.83050000000000002</c:v>
                </c:pt>
                <c:pt idx="2">
                  <c:v>0.78570000000000007</c:v>
                </c:pt>
                <c:pt idx="3">
                  <c:v>0.76190000000000002</c:v>
                </c:pt>
                <c:pt idx="4">
                  <c:v>0.75</c:v>
                </c:pt>
                <c:pt idx="5">
                  <c:v>0.74189999999999989</c:v>
                </c:pt>
                <c:pt idx="6">
                  <c:v>0.7</c:v>
                </c:pt>
                <c:pt idx="7">
                  <c:v>0.64710000000000001</c:v>
                </c:pt>
                <c:pt idx="8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D6-436D-B858-CF9F0733D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3630799"/>
        <c:axId val="1943629967"/>
      </c:barChart>
      <c:catAx>
        <c:axId val="1943630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rgbClr val="11274B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3629967"/>
        <c:crosses val="autoZero"/>
        <c:auto val="1"/>
        <c:lblAlgn val="ctr"/>
        <c:lblOffset val="100"/>
        <c:noMultiLvlLbl val="0"/>
      </c:catAx>
      <c:valAx>
        <c:axId val="1943629967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 w="15875">
            <a:solidFill>
              <a:srgbClr val="11274B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3630799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en-US" sz="1000" b="0" i="0" u="none" strike="noStrike" kern="1200" baseline="0">
          <a:solidFill>
            <a:schemeClr val="tx1"/>
          </a:solidFill>
          <a:latin typeface="+mn-lt"/>
          <a:ea typeface="+mn-ea"/>
          <a:cs typeface="+mn-cs"/>
        </a:defRPr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r>
              <a:rPr lang="en-AU" sz="1400" b="1">
                <a:solidFill>
                  <a:srgbClr val="11274B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What should the Government do to make it easier for your business to employ more people and pay higher wages?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16'!$B$3</c:f>
              <c:strCache>
                <c:ptCount val="1"/>
                <c:pt idx="0">
                  <c:v>Total WA</c:v>
                </c:pt>
              </c:strCache>
            </c:strRef>
          </c:tx>
          <c:spPr>
            <a:solidFill>
              <a:srgbClr val="11274B"/>
            </a:solidFill>
            <a:ln>
              <a:prstDash val="solid"/>
            </a:ln>
          </c:spPr>
          <c:invertIfNegative val="0"/>
          <c:cat>
            <c:strRef>
              <c:f>'Question 16'!$A$4:$A$11</c:f>
              <c:strCache>
                <c:ptCount val="8"/>
                <c:pt idx="0">
                  <c:v>Reduce regulatory burden</c:v>
                </c:pt>
                <c:pt idx="1">
                  <c:v>Simplify awards</c:v>
                </c:pt>
                <c:pt idx="2">
                  <c:v>Lower taxes</c:v>
                </c:pt>
                <c:pt idx="3">
                  <c:v>Make it easier to strike mutually beneficial enterprise agreements</c:v>
                </c:pt>
                <c:pt idx="4">
                  <c:v>Abolish fringe benefits tax on childcare</c:v>
                </c:pt>
                <c:pt idx="5">
                  <c:v>Help drive the adoption of digital technologies</c:v>
                </c:pt>
                <c:pt idx="6">
                  <c:v>Other </c:v>
                </c:pt>
                <c:pt idx="7">
                  <c:v>Nothing</c:v>
                </c:pt>
              </c:strCache>
            </c:strRef>
          </c:cat>
          <c:val>
            <c:numRef>
              <c:f>'Question 16'!$B$4:$B$11</c:f>
              <c:numCache>
                <c:formatCode>0.00%</c:formatCode>
                <c:ptCount val="8"/>
                <c:pt idx="0">
                  <c:v>0.76619999999999999</c:v>
                </c:pt>
                <c:pt idx="1">
                  <c:v>0.65370000000000006</c:v>
                </c:pt>
                <c:pt idx="2">
                  <c:v>0.54110000000000003</c:v>
                </c:pt>
                <c:pt idx="3">
                  <c:v>0.45889999999999997</c:v>
                </c:pt>
                <c:pt idx="4">
                  <c:v>0.30299999999999999</c:v>
                </c:pt>
                <c:pt idx="5">
                  <c:v>0.1905</c:v>
                </c:pt>
                <c:pt idx="6">
                  <c:v>0.16020000000000001</c:v>
                </c:pt>
                <c:pt idx="7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3E-4F9E-B939-05A63E3B0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scatterChart>
        <c:scatterStyle val="lineMarker"/>
        <c:varyColors val="0"/>
        <c:ser>
          <c:idx val="1"/>
          <c:order val="1"/>
          <c:tx>
            <c:strRef>
              <c:f>'Question 16'!$C$3</c:f>
              <c:strCache>
                <c:ptCount val="1"/>
                <c:pt idx="0">
                  <c:v>Small Businesses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xVal>
            <c:strRef>
              <c:f>'Question 16'!$A$4:$A$11</c:f>
              <c:strCache>
                <c:ptCount val="8"/>
                <c:pt idx="0">
                  <c:v>Reduce regulatory burden</c:v>
                </c:pt>
                <c:pt idx="1">
                  <c:v>Simplify awards</c:v>
                </c:pt>
                <c:pt idx="2">
                  <c:v>Lower taxes</c:v>
                </c:pt>
                <c:pt idx="3">
                  <c:v>Make it easier to strike mutually beneficial enterprise agreements</c:v>
                </c:pt>
                <c:pt idx="4">
                  <c:v>Abolish fringe benefits tax on childcare</c:v>
                </c:pt>
                <c:pt idx="5">
                  <c:v>Help drive the adoption of digital technologies</c:v>
                </c:pt>
                <c:pt idx="6">
                  <c:v>Other </c:v>
                </c:pt>
                <c:pt idx="7">
                  <c:v>Nothing</c:v>
                </c:pt>
              </c:strCache>
            </c:strRef>
          </c:xVal>
          <c:yVal>
            <c:numRef>
              <c:f>'Question 16'!$C$4:$C$11</c:f>
              <c:numCache>
                <c:formatCode>0.00%</c:formatCode>
                <c:ptCount val="8"/>
                <c:pt idx="0">
                  <c:v>0.80489999999999995</c:v>
                </c:pt>
                <c:pt idx="1">
                  <c:v>0.73170000000000002</c:v>
                </c:pt>
                <c:pt idx="2">
                  <c:v>0.68290000000000006</c:v>
                </c:pt>
                <c:pt idx="3">
                  <c:v>0.58540000000000003</c:v>
                </c:pt>
                <c:pt idx="4">
                  <c:v>0.31709999999999999</c:v>
                </c:pt>
                <c:pt idx="5">
                  <c:v>0.14630000000000001</c:v>
                </c:pt>
                <c:pt idx="6">
                  <c:v>0.1951</c:v>
                </c:pt>
                <c:pt idx="7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53E-4F9E-B939-05A63E3B0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"/>
        <c:axId val="100"/>
      </c:scatterChart>
      <c:valAx>
        <c:axId val="100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legend>
      <c:legendPos val="t"/>
      <c:overlay val="1"/>
    </c:legend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AU" sz="2000" b="1" i="0" u="none" strike="noStrike" kern="1200" spc="0" baseline="0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defRPr>
            </a:pPr>
            <a:r>
              <a:rPr lang="en-AU" sz="1400" b="1" i="0" u="none" strike="noStrike" kern="1200" spc="0" baseline="0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rPr>
              <a:t>Concern by issue</a:t>
            </a:r>
          </a:p>
          <a:p>
            <a:pPr>
              <a:defRPr lang="en-AU" sz="2000" b="1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defRPr>
            </a:pPr>
            <a:r>
              <a:rPr lang="en-AU" sz="1400" b="1" i="0" u="none" strike="noStrike" kern="1200" spc="0" baseline="0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rPr>
              <a:t>“What impact would … have on your business?”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AU" sz="2000" b="1" i="0" u="none" strike="noStrike" kern="1200" spc="0" baseline="0">
              <a:solidFill>
                <a:srgbClr val="11274B"/>
              </a:solidFill>
              <a:latin typeface="Open Sans Condensed" panose="020B0806030504020204" pitchFamily="34" charset="0"/>
              <a:ea typeface="Open Sans Condensed" panose="020B0806030504020204" pitchFamily="34" charset="0"/>
              <a:cs typeface="Open Sans Condensed" panose="020B0806030504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'OVERALL CONCERN'!$C$2</c:f>
              <c:strCache>
                <c:ptCount val="1"/>
                <c:pt idx="0">
                  <c:v>Extremely damaging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'OVERALL CONCERN'!$B$3:$B$6</c:f>
              <c:strCache>
                <c:ptCount val="4"/>
                <c:pt idx="0">
                  <c:v>Losing control of work arrangements</c:v>
                </c:pt>
                <c:pt idx="1">
                  <c:v>Multi-employer bargaining</c:v>
                </c:pt>
                <c:pt idx="2">
                  <c:v>Forced to immediately bargain on expiry</c:v>
                </c:pt>
                <c:pt idx="3">
                  <c:v>Limits to fixed-term contracts</c:v>
                </c:pt>
              </c:strCache>
            </c:strRef>
          </c:cat>
          <c:val>
            <c:numRef>
              <c:f>'OVERALL CONCERN'!$C$3:$C$6</c:f>
              <c:numCache>
                <c:formatCode>0%</c:formatCode>
                <c:ptCount val="4"/>
                <c:pt idx="0">
                  <c:v>0.5857</c:v>
                </c:pt>
                <c:pt idx="1">
                  <c:v>0.49230000000000002</c:v>
                </c:pt>
                <c:pt idx="2">
                  <c:v>0.40820000000000001</c:v>
                </c:pt>
                <c:pt idx="3">
                  <c:v>0.2205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3-4054-8878-585A8CF0FE73}"/>
            </c:ext>
          </c:extLst>
        </c:ser>
        <c:ser>
          <c:idx val="1"/>
          <c:order val="1"/>
          <c:tx>
            <c:strRef>
              <c:f>'OVERALL CONCERN'!$D$2</c:f>
              <c:strCache>
                <c:ptCount val="1"/>
                <c:pt idx="0">
                  <c:v>Damaging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'OVERALL CONCERN'!$B$3:$B$6</c:f>
              <c:strCache>
                <c:ptCount val="4"/>
                <c:pt idx="0">
                  <c:v>Losing control of work arrangements</c:v>
                </c:pt>
                <c:pt idx="1">
                  <c:v>Multi-employer bargaining</c:v>
                </c:pt>
                <c:pt idx="2">
                  <c:v>Forced to immediately bargain on expiry</c:v>
                </c:pt>
                <c:pt idx="3">
                  <c:v>Limits to fixed-term contracts</c:v>
                </c:pt>
              </c:strCache>
            </c:strRef>
          </c:cat>
          <c:val>
            <c:numRef>
              <c:f>'OVERALL CONCERN'!$D$3:$D$6</c:f>
              <c:numCache>
                <c:formatCode>0%</c:formatCode>
                <c:ptCount val="4"/>
                <c:pt idx="0">
                  <c:v>0.33929999999999999</c:v>
                </c:pt>
                <c:pt idx="1">
                  <c:v>0.3785</c:v>
                </c:pt>
                <c:pt idx="2">
                  <c:v>0.3306</c:v>
                </c:pt>
                <c:pt idx="3">
                  <c:v>0.33079999999999998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73-4054-8878-585A8CF0F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8288863"/>
        <c:axId val="298289279"/>
      </c:barChart>
      <c:catAx>
        <c:axId val="298288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11274B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289279"/>
        <c:crosses val="autoZero"/>
        <c:auto val="1"/>
        <c:lblAlgn val="ctr"/>
        <c:lblOffset val="100"/>
        <c:noMultiLvlLbl val="0"/>
      </c:catAx>
      <c:valAx>
        <c:axId val="298289279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 w="15875">
            <a:solidFill>
              <a:srgbClr val="11274B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288863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en-US" sz="1000" b="0" i="0" u="none" strike="noStrike" kern="1200" baseline="0">
          <a:solidFill>
            <a:schemeClr val="tx1"/>
          </a:solidFill>
          <a:latin typeface="+mn-lt"/>
          <a:ea typeface="+mn-ea"/>
          <a:cs typeface="+mn-cs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AU" sz="1400" b="1">
                <a:solidFill>
                  <a:schemeClr val="tx1"/>
                </a:solidFill>
                <a:latin typeface="+mj-lt"/>
              </a:rPr>
              <a:t>What impact would multi-employer bargaining have on your business?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11274B"/>
            </a:solidFill>
            <a:ln>
              <a:prstDash val="solid"/>
            </a:ln>
          </c:spPr>
          <c:invertIfNegative val="0"/>
          <c:cat>
            <c:strRef>
              <c:f>'Question 1'!$A$4:$A$8</c:f>
              <c:strCache>
                <c:ptCount val="5"/>
                <c:pt idx="0">
                  <c:v>Extremely damaging</c:v>
                </c:pt>
                <c:pt idx="1">
                  <c:v>Damaging</c:v>
                </c:pt>
                <c:pt idx="2">
                  <c:v>No impact</c:v>
                </c:pt>
                <c:pt idx="3">
                  <c:v>Positive</c:v>
                </c:pt>
                <c:pt idx="4">
                  <c:v>Extremely positive</c:v>
                </c:pt>
              </c:strCache>
            </c:strRef>
          </c:cat>
          <c:val>
            <c:numRef>
              <c:f>'Question 1'!$B$4:$B$8</c:f>
              <c:numCache>
                <c:formatCode>0.00%</c:formatCode>
                <c:ptCount val="5"/>
                <c:pt idx="0">
                  <c:v>0.49080000000000001</c:v>
                </c:pt>
                <c:pt idx="1">
                  <c:v>0.38040000000000002</c:v>
                </c:pt>
                <c:pt idx="2">
                  <c:v>0.1012</c:v>
                </c:pt>
                <c:pt idx="3">
                  <c:v>1.84E-2</c:v>
                </c:pt>
                <c:pt idx="4">
                  <c:v>9.1999999999999998E-3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3A-4E9F-BCC5-8377F3A80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>
                <a:solidFill>
                  <a:schemeClr val="tx1"/>
                </a:solidFill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r>
              <a:rPr lang="en-AU" sz="1400" b="1">
                <a:solidFill>
                  <a:srgbClr val="11274B"/>
                </a:solidFill>
              </a:rPr>
              <a:t>What would you be forced to do in response to multi-employer bargaining?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11274B"/>
            </a:solidFill>
            <a:ln>
              <a:prstDash val="solid"/>
            </a:ln>
          </c:spPr>
          <c:invertIfNegative val="0"/>
          <c:cat>
            <c:strRef>
              <c:f>'Question 2'!$A$4:$A$9</c:f>
              <c:strCache>
                <c:ptCount val="6"/>
                <c:pt idx="0">
                  <c:v>Employ fewer staff</c:v>
                </c:pt>
                <c:pt idx="1">
                  <c:v>Scale down the business</c:v>
                </c:pt>
                <c:pt idx="2">
                  <c:v>Invest more in automation</c:v>
                </c:pt>
                <c:pt idx="3">
                  <c:v>Invest or shift resources overseas</c:v>
                </c:pt>
                <c:pt idx="4">
                  <c:v>Other</c:v>
                </c:pt>
                <c:pt idx="5">
                  <c:v>Close the business</c:v>
                </c:pt>
              </c:strCache>
            </c:strRef>
          </c:cat>
          <c:val>
            <c:numRef>
              <c:f>'Question 2'!$B$4:$B$9</c:f>
              <c:numCache>
                <c:formatCode>0.00%</c:formatCode>
                <c:ptCount val="6"/>
                <c:pt idx="0">
                  <c:v>0.62549999999999994</c:v>
                </c:pt>
                <c:pt idx="1">
                  <c:v>0.42080000000000001</c:v>
                </c:pt>
                <c:pt idx="2">
                  <c:v>0.33200000000000002</c:v>
                </c:pt>
                <c:pt idx="3">
                  <c:v>0.19689999999999999</c:v>
                </c:pt>
                <c:pt idx="4">
                  <c:v>0.17760000000000001</c:v>
                </c:pt>
                <c:pt idx="5">
                  <c:v>0.1236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AC-4166-A54D-1EB9AC665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AU" sz="2000" b="1" i="0" u="none" strike="noStrike" kern="1200" spc="0" baseline="0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defRPr>
            </a:pPr>
            <a:r>
              <a:rPr lang="en-AU" sz="1400" b="1" i="0" u="none" strike="noStrike" kern="1200" spc="0" baseline="0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rPr>
              <a:t>Concern by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AU" sz="2000" b="1" i="0" u="none" strike="noStrike" kern="1200" spc="0" baseline="0">
              <a:solidFill>
                <a:srgbClr val="11274B"/>
              </a:solidFill>
              <a:latin typeface="Open Sans Condensed" panose="020B0806030504020204" pitchFamily="34" charset="0"/>
              <a:ea typeface="Open Sans Condensed" panose="020B0806030504020204" pitchFamily="34" charset="0"/>
              <a:cs typeface="Open Sans Condensed" panose="020B0806030504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'Question 1'!$A$4:$A$12</c:f>
              <c:strCache>
                <c:ptCount val="9"/>
                <c:pt idx="0">
                  <c:v>Agriculture</c:v>
                </c:pt>
                <c:pt idx="1">
                  <c:v>Transport</c:v>
                </c:pt>
                <c:pt idx="2">
                  <c:v>Real estate</c:v>
                </c:pt>
                <c:pt idx="3">
                  <c:v>Manufacturing</c:v>
                </c:pt>
                <c:pt idx="4">
                  <c:v>Education &amp; training</c:v>
                </c:pt>
                <c:pt idx="5">
                  <c:v>Health &amp; social ass.</c:v>
                </c:pt>
                <c:pt idx="6">
                  <c:v>Construction</c:v>
                </c:pt>
                <c:pt idx="7">
                  <c:v>Retail, accom, food</c:v>
                </c:pt>
                <c:pt idx="8">
                  <c:v>Resources</c:v>
                </c:pt>
              </c:strCache>
            </c:strRef>
          </c:cat>
          <c:val>
            <c:numRef>
              <c:f>'Question 1'!$N$4:$N$12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0.93219999999999992</c:v>
                </c:pt>
                <c:pt idx="4">
                  <c:v>0.9</c:v>
                </c:pt>
                <c:pt idx="5">
                  <c:v>0.88229999999999997</c:v>
                </c:pt>
                <c:pt idx="6">
                  <c:v>0.871</c:v>
                </c:pt>
                <c:pt idx="7">
                  <c:v>0.8571428571428571</c:v>
                </c:pt>
                <c:pt idx="8">
                  <c:v>0.76190000000000002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99-45D8-BA2A-8C986400B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996206319"/>
        <c:axId val="996203823"/>
      </c:barChart>
      <c:catAx>
        <c:axId val="996206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rgbClr val="11274B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203823"/>
        <c:crosses val="autoZero"/>
        <c:auto val="1"/>
        <c:lblAlgn val="ctr"/>
        <c:lblOffset val="100"/>
        <c:noMultiLvlLbl val="0"/>
      </c:catAx>
      <c:valAx>
        <c:axId val="996203823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 w="15875">
            <a:solidFill>
              <a:srgbClr val="11274B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206319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en-US" sz="1000" b="0" i="0" u="none" strike="noStrike" kern="1200" baseline="0">
          <a:solidFill>
            <a:schemeClr val="tx1"/>
          </a:solidFill>
          <a:latin typeface="+mn-lt"/>
          <a:ea typeface="+mn-ea"/>
          <a:cs typeface="+mn-cs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r>
              <a:rPr lang="en-AU" sz="1400" b="1">
                <a:solidFill>
                  <a:srgbClr val="11274B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What impact would losing the ability to set your own work arrangements have on your business?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4'!$B$3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11274B"/>
            </a:solidFill>
            <a:ln>
              <a:prstDash val="solid"/>
            </a:ln>
          </c:spPr>
          <c:invertIfNegative val="0"/>
          <c:cat>
            <c:strRef>
              <c:f>'Question 4'!$A$4:$A$8</c:f>
              <c:strCache>
                <c:ptCount val="5"/>
                <c:pt idx="0">
                  <c:v>Extremely damaging</c:v>
                </c:pt>
                <c:pt idx="1">
                  <c:v>Damaging</c:v>
                </c:pt>
                <c:pt idx="2">
                  <c:v>No impact</c:v>
                </c:pt>
                <c:pt idx="3">
                  <c:v>Positive</c:v>
                </c:pt>
                <c:pt idx="4">
                  <c:v>Extremely positive</c:v>
                </c:pt>
              </c:strCache>
            </c:strRef>
          </c:cat>
          <c:val>
            <c:numRef>
              <c:f>'Question 4'!$B$4:$B$8</c:f>
              <c:numCache>
                <c:formatCode>0.00%</c:formatCode>
                <c:ptCount val="5"/>
                <c:pt idx="0">
                  <c:v>0.58719999999999994</c:v>
                </c:pt>
                <c:pt idx="1">
                  <c:v>0.33810000000000001</c:v>
                </c:pt>
                <c:pt idx="2">
                  <c:v>4.6300000000000001E-2</c:v>
                </c:pt>
                <c:pt idx="3">
                  <c:v>2.4899999999999999E-2</c:v>
                </c:pt>
                <c:pt idx="4">
                  <c:v>3.5999999999999999E-3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4F-48E1-A3B1-01B254C60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r>
              <a:rPr lang="en-AU" sz="1400" b="1">
                <a:solidFill>
                  <a:srgbClr val="11274B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What would you be forced to do in response to losing control of setting your own work conditions?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5'!$B$3</c:f>
              <c:strCache>
                <c:ptCount val="1"/>
                <c:pt idx="0">
                  <c:v>Total WA</c:v>
                </c:pt>
              </c:strCache>
            </c:strRef>
          </c:tx>
          <c:spPr>
            <a:solidFill>
              <a:srgbClr val="11274B"/>
            </a:solidFill>
            <a:ln>
              <a:prstDash val="solid"/>
            </a:ln>
          </c:spPr>
          <c:invertIfNegative val="0"/>
          <c:cat>
            <c:strRef>
              <c:f>'Question 5'!$A$4:$A$9</c:f>
              <c:strCache>
                <c:ptCount val="6"/>
                <c:pt idx="0">
                  <c:v>Employ fewer staff</c:v>
                </c:pt>
                <c:pt idx="1">
                  <c:v>Scale down the business</c:v>
                </c:pt>
                <c:pt idx="2">
                  <c:v>Invest more in automation</c:v>
                </c:pt>
                <c:pt idx="3">
                  <c:v>Invest or shift resources overseas</c:v>
                </c:pt>
                <c:pt idx="4">
                  <c:v>Close the business</c:v>
                </c:pt>
                <c:pt idx="5">
                  <c:v>Other</c:v>
                </c:pt>
              </c:strCache>
            </c:strRef>
          </c:cat>
          <c:val>
            <c:numRef>
              <c:f>'Question 5'!$B$4:$B$9</c:f>
              <c:numCache>
                <c:formatCode>0.00%</c:formatCode>
                <c:ptCount val="6"/>
                <c:pt idx="0">
                  <c:v>0.622</c:v>
                </c:pt>
                <c:pt idx="1">
                  <c:v>0.44879999999999998</c:v>
                </c:pt>
                <c:pt idx="2">
                  <c:v>0.30709999999999998</c:v>
                </c:pt>
                <c:pt idx="3">
                  <c:v>0.22439999999999999</c:v>
                </c:pt>
                <c:pt idx="4">
                  <c:v>0.1575</c:v>
                </c:pt>
                <c:pt idx="5">
                  <c:v>0.1457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54-4B2F-8B9B-FADD5CBBC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scatterChart>
        <c:scatterStyle val="lineMarker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axId val="10"/>
        <c:axId val="100"/>
        <c:extLst>
          <c:ext xmlns:c15="http://schemas.microsoft.com/office/drawing/2012/chart" uri="{02D57815-91ED-43cb-92C2-25804820EDAC}">
            <c15:filteredScatte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'Question 5'!$C$3</c15:sqref>
                        </c15:formulaRef>
                      </c:ext>
                    </c:extLst>
                    <c:strCache>
                      <c:ptCount val="1"/>
                      <c:pt idx="0">
                        <c:v>Small Businesses</c:v>
                      </c:pt>
                    </c:strCache>
                  </c:strRef>
                </c:tx>
                <c:spPr>
                  <a:ln w="28575">
                    <a:noFill/>
                  </a:ln>
                </c:spPr>
                <c:marker>
                  <c:symbol val="circle"/>
                  <c:size val="10"/>
                  <c:spPr>
                    <a:solidFill>
                      <a:srgbClr val="FFC000"/>
                    </a:solidFill>
                    <a:ln>
                      <a:solidFill>
                        <a:srgbClr val="FFC000"/>
                      </a:solidFill>
                    </a:ln>
                  </c:spPr>
                </c:marker>
                <c:xVal>
                  <c:strRef>
                    <c:extLst>
                      <c:ext uri="{02D57815-91ED-43cb-92C2-25804820EDAC}">
                        <c15:formulaRef>
                          <c15:sqref>'Question 5'!$A$4:$A$9</c15:sqref>
                        </c15:formulaRef>
                      </c:ext>
                    </c:extLst>
                    <c:strCache>
                      <c:ptCount val="6"/>
                      <c:pt idx="0">
                        <c:v>Employ fewer staff</c:v>
                      </c:pt>
                      <c:pt idx="1">
                        <c:v>Scale down the business</c:v>
                      </c:pt>
                      <c:pt idx="2">
                        <c:v>Invest more in automation</c:v>
                      </c:pt>
                      <c:pt idx="3">
                        <c:v>Invest or shift resources overseas</c:v>
                      </c:pt>
                      <c:pt idx="4">
                        <c:v>Close the business</c:v>
                      </c:pt>
                      <c:pt idx="5">
                        <c:v>Other</c:v>
                      </c:pt>
                    </c:strCache>
                  </c:strRef>
                </c:xVal>
                <c:yVal>
                  <c:numRef>
                    <c:extLst>
                      <c:ext uri="{02D57815-91ED-43cb-92C2-25804820EDAC}">
                        <c15:formulaRef>
                          <c15:sqref>'Question 5'!$C$4:$C$9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0.53849999999999998</c:v>
                      </c:pt>
                      <c:pt idx="1">
                        <c:v>0.48720000000000002</c:v>
                      </c:pt>
                      <c:pt idx="2">
                        <c:v>0.25640000000000002</c:v>
                      </c:pt>
                      <c:pt idx="3">
                        <c:v>0.12820000000000001</c:v>
                      </c:pt>
                      <c:pt idx="4">
                        <c:v>0.3846</c:v>
                      </c:pt>
                      <c:pt idx="5">
                        <c:v>0.15379999999999999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1-0C54-4B2F-8B9B-FADD5CBBC0B4}"/>
                  </c:ext>
                </c:extLst>
              </c15:ser>
            </c15:filteredScatterSeries>
          </c:ext>
        </c:extLst>
      </c:scatterChart>
      <c:valAx>
        <c:axId val="100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AU" sz="2000" b="1" i="0" u="none" strike="noStrike" kern="1200" spc="0" baseline="0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defRPr>
            </a:pPr>
            <a:r>
              <a:rPr lang="en-AU" sz="1400" b="1" i="0" u="none" strike="noStrike" kern="1200" spc="0" baseline="0">
                <a:solidFill>
                  <a:srgbClr val="11274B"/>
                </a:solidFill>
                <a:latin typeface="Open Sans Condensed" panose="020B0806030504020204" pitchFamily="34" charset="0"/>
                <a:ea typeface="Open Sans Condensed" panose="020B0806030504020204" pitchFamily="34" charset="0"/>
                <a:cs typeface="Open Sans Condensed" panose="020B0806030504020204" pitchFamily="34" charset="0"/>
              </a:rPr>
              <a:t>Concern by sector</a:t>
            </a:r>
          </a:p>
        </c:rich>
      </c:tx>
      <c:layout>
        <c:manualLayout>
          <c:xMode val="edge"/>
          <c:yMode val="edge"/>
          <c:x val="0.40172883284694311"/>
          <c:y val="3.41509618989933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AU" sz="2000" b="1" i="0" u="none" strike="noStrike" kern="1200" spc="0" baseline="0">
              <a:solidFill>
                <a:srgbClr val="11274B"/>
              </a:solidFill>
              <a:latin typeface="Open Sans Condensed" panose="020B0806030504020204" pitchFamily="34" charset="0"/>
              <a:ea typeface="Open Sans Condensed" panose="020B0806030504020204" pitchFamily="34" charset="0"/>
              <a:cs typeface="Open Sans Condensed" panose="020B0806030504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945106865075827E-2"/>
          <c:y val="0.18251084309346149"/>
          <c:w val="0.8745476057841689"/>
          <c:h val="0.571262836232005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'Question 4'!$A$4:$A$12</c:f>
              <c:strCache>
                <c:ptCount val="9"/>
                <c:pt idx="0">
                  <c:v>Agriculture</c:v>
                </c:pt>
                <c:pt idx="1">
                  <c:v>Retail, accom, food</c:v>
                </c:pt>
                <c:pt idx="2">
                  <c:v>Transport</c:v>
                </c:pt>
                <c:pt idx="3">
                  <c:v>Real estate</c:v>
                </c:pt>
                <c:pt idx="4">
                  <c:v>Manufacturing</c:v>
                </c:pt>
                <c:pt idx="5">
                  <c:v>Health &amp; social ass.</c:v>
                </c:pt>
                <c:pt idx="6">
                  <c:v>Resources</c:v>
                </c:pt>
                <c:pt idx="7">
                  <c:v>Education &amp; training</c:v>
                </c:pt>
                <c:pt idx="8">
                  <c:v>Construction</c:v>
                </c:pt>
              </c:strCache>
            </c:strRef>
          </c:cat>
          <c:val>
            <c:numRef>
              <c:f>'Question 4'!$N$4:$N$12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0.96609999999999996</c:v>
                </c:pt>
                <c:pt idx="5">
                  <c:v>0.94110000000000005</c:v>
                </c:pt>
                <c:pt idx="6">
                  <c:v>0.90480000000000005</c:v>
                </c:pt>
                <c:pt idx="7">
                  <c:v>0.89999999999999991</c:v>
                </c:pt>
                <c:pt idx="8">
                  <c:v>0.871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B-4592-8619-F219E7C01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5432879"/>
        <c:axId val="356325775"/>
      </c:barChart>
      <c:catAx>
        <c:axId val="1065432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rgbClr val="11274B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325775"/>
        <c:crosses val="autoZero"/>
        <c:auto val="1"/>
        <c:lblAlgn val="ctr"/>
        <c:lblOffset val="100"/>
        <c:noMultiLvlLbl val="0"/>
      </c:catAx>
      <c:valAx>
        <c:axId val="356325775"/>
        <c:scaling>
          <c:orientation val="minMax"/>
          <c:max val="1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 w="15875">
            <a:solidFill>
              <a:srgbClr val="11274B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5432879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en-US" sz="1000" b="0" i="0" u="none" strike="noStrike" kern="1200" baseline="0">
          <a:solidFill>
            <a:schemeClr val="tx1"/>
          </a:solidFill>
          <a:latin typeface="+mn-lt"/>
          <a:ea typeface="+mn-ea"/>
          <a:cs typeface="+mn-cs"/>
        </a:defRPr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r>
              <a:rPr lang="en-AU" sz="1400" b="1">
                <a:solidFill>
                  <a:srgbClr val="11274B"/>
                </a:solidFill>
                <a:latin typeface="Open Sans" panose="020B0606030504020204" pitchFamily="34" charset="0"/>
                <a:ea typeface="Open Sans" panose="020B0606030504020204" pitchFamily="34" charset="0"/>
                <a:cs typeface="Open Sans" panose="020B0606030504020204" pitchFamily="34" charset="0"/>
              </a:rPr>
              <a:t>What impact would limits to fixed-term contracts have on your business?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7'!$B$3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11274B"/>
            </a:solidFill>
            <a:ln>
              <a:prstDash val="solid"/>
            </a:ln>
          </c:spPr>
          <c:invertIfNegative val="0"/>
          <c:cat>
            <c:strRef>
              <c:f>'Question 7'!$A$4:$A$8</c:f>
              <c:strCache>
                <c:ptCount val="5"/>
                <c:pt idx="0">
                  <c:v>Extremely damaging</c:v>
                </c:pt>
                <c:pt idx="1">
                  <c:v>Damaging</c:v>
                </c:pt>
                <c:pt idx="2">
                  <c:v>No impact</c:v>
                </c:pt>
                <c:pt idx="3">
                  <c:v>Positive</c:v>
                </c:pt>
                <c:pt idx="4">
                  <c:v>Extremely positive</c:v>
                </c:pt>
              </c:strCache>
            </c:strRef>
          </c:cat>
          <c:val>
            <c:numRef>
              <c:f>'Question 7'!$B$4:$B$8</c:f>
              <c:numCache>
                <c:formatCode>0.00%</c:formatCode>
                <c:ptCount val="5"/>
                <c:pt idx="0">
                  <c:v>0.21970000000000001</c:v>
                </c:pt>
                <c:pt idx="1">
                  <c:v>0.33329999999999999</c:v>
                </c:pt>
                <c:pt idx="2">
                  <c:v>0.40910000000000002</c:v>
                </c:pt>
                <c:pt idx="3">
                  <c:v>1.52E-2</c:v>
                </c:pt>
                <c:pt idx="4">
                  <c:v>2.2700000000000001E-2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B-408B-9CAF-A94C15AED8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  <c:max val="0.5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"/>
        <c:crosses val="autoZero"/>
        <c:crossBetween val="between"/>
        <c:majorUnit val="0.1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5875">
            <a:solidFill>
              <a:srgbClr val="11274B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CCIWA">
  <a:themeElements>
    <a:clrScheme name="CCIWA">
      <a:dk1>
        <a:srgbClr val="11274B"/>
      </a:dk1>
      <a:lt1>
        <a:sysClr val="window" lastClr="FFFFFF"/>
      </a:lt1>
      <a:dk2>
        <a:srgbClr val="3E5564"/>
      </a:dk2>
      <a:lt2>
        <a:srgbClr val="F7F8F9"/>
      </a:lt2>
      <a:accent1>
        <a:srgbClr val="11274B"/>
      </a:accent1>
      <a:accent2>
        <a:srgbClr val="EE953A"/>
      </a:accent2>
      <a:accent3>
        <a:srgbClr val="3E5564"/>
      </a:accent3>
      <a:accent4>
        <a:srgbClr val="3698CC"/>
      </a:accent4>
      <a:accent5>
        <a:srgbClr val="82C55D"/>
      </a:accent5>
      <a:accent6>
        <a:srgbClr val="F6B413"/>
      </a:accent6>
      <a:hlink>
        <a:srgbClr val="7E9BAF"/>
      </a:hlink>
      <a:folHlink>
        <a:srgbClr val="27729A"/>
      </a:folHlink>
    </a:clrScheme>
    <a:fontScheme name="CCIWA">
      <a:majorFont>
        <a:latin typeface="Open Sans Condense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Custom 2">
    <a:dk1>
      <a:srgbClr val="11274B"/>
    </a:dk1>
    <a:lt1>
      <a:srgbClr val="FFFFFF"/>
    </a:lt1>
    <a:dk2>
      <a:srgbClr val="3E5564"/>
    </a:dk2>
    <a:lt2>
      <a:srgbClr val="F1F2F2"/>
    </a:lt2>
    <a:accent1>
      <a:srgbClr val="11274B"/>
    </a:accent1>
    <a:accent2>
      <a:srgbClr val="3698CC"/>
    </a:accent2>
    <a:accent3>
      <a:srgbClr val="EE953A"/>
    </a:accent3>
    <a:accent4>
      <a:srgbClr val="82C55D"/>
    </a:accent4>
    <a:accent5>
      <a:srgbClr val="3E5564"/>
    </a:accent5>
    <a:accent6>
      <a:srgbClr val="BCBEC0"/>
    </a:accent6>
    <a:hlink>
      <a:srgbClr val="3698CC"/>
    </a:hlink>
    <a:folHlink>
      <a:srgbClr val="EE953A"/>
    </a:folHlink>
  </a:clrScheme>
  <a:fontScheme name="CCIWA">
    <a:majorFont>
      <a:latin typeface="Open Sans Condensed"/>
      <a:ea typeface=""/>
      <a:cs typeface=""/>
    </a:majorFont>
    <a:minorFont>
      <a:latin typeface="Open Sans Light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Custom 2">
    <a:dk1>
      <a:srgbClr val="11274B"/>
    </a:dk1>
    <a:lt1>
      <a:srgbClr val="FFFFFF"/>
    </a:lt1>
    <a:dk2>
      <a:srgbClr val="3E5564"/>
    </a:dk2>
    <a:lt2>
      <a:srgbClr val="F1F2F2"/>
    </a:lt2>
    <a:accent1>
      <a:srgbClr val="11274B"/>
    </a:accent1>
    <a:accent2>
      <a:srgbClr val="3698CC"/>
    </a:accent2>
    <a:accent3>
      <a:srgbClr val="EE953A"/>
    </a:accent3>
    <a:accent4>
      <a:srgbClr val="82C55D"/>
    </a:accent4>
    <a:accent5>
      <a:srgbClr val="3E5564"/>
    </a:accent5>
    <a:accent6>
      <a:srgbClr val="BCBEC0"/>
    </a:accent6>
    <a:hlink>
      <a:srgbClr val="3698CC"/>
    </a:hlink>
    <a:folHlink>
      <a:srgbClr val="EE953A"/>
    </a:folHlink>
  </a:clrScheme>
  <a:fontScheme name="CCIWA">
    <a:majorFont>
      <a:latin typeface="Open Sans Condensed"/>
      <a:ea typeface=""/>
      <a:cs typeface=""/>
    </a:majorFont>
    <a:minorFont>
      <a:latin typeface="Open Sans Light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Custom 2">
    <a:dk1>
      <a:srgbClr val="11274B"/>
    </a:dk1>
    <a:lt1>
      <a:srgbClr val="FFFFFF"/>
    </a:lt1>
    <a:dk2>
      <a:srgbClr val="3E5564"/>
    </a:dk2>
    <a:lt2>
      <a:srgbClr val="F1F2F2"/>
    </a:lt2>
    <a:accent1>
      <a:srgbClr val="11274B"/>
    </a:accent1>
    <a:accent2>
      <a:srgbClr val="3698CC"/>
    </a:accent2>
    <a:accent3>
      <a:srgbClr val="EE953A"/>
    </a:accent3>
    <a:accent4>
      <a:srgbClr val="82C55D"/>
    </a:accent4>
    <a:accent5>
      <a:srgbClr val="3E5564"/>
    </a:accent5>
    <a:accent6>
      <a:srgbClr val="BCBEC0"/>
    </a:accent6>
    <a:hlink>
      <a:srgbClr val="3698CC"/>
    </a:hlink>
    <a:folHlink>
      <a:srgbClr val="EE953A"/>
    </a:folHlink>
  </a:clrScheme>
  <a:fontScheme name="CCIWA">
    <a:majorFont>
      <a:latin typeface="Open Sans Condensed"/>
      <a:ea typeface=""/>
      <a:cs typeface=""/>
    </a:majorFont>
    <a:minorFont>
      <a:latin typeface="Open Sans Light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Custom 2">
    <a:dk1>
      <a:srgbClr val="11274B"/>
    </a:dk1>
    <a:lt1>
      <a:srgbClr val="FFFFFF"/>
    </a:lt1>
    <a:dk2>
      <a:srgbClr val="3E5564"/>
    </a:dk2>
    <a:lt2>
      <a:srgbClr val="F1F2F2"/>
    </a:lt2>
    <a:accent1>
      <a:srgbClr val="11274B"/>
    </a:accent1>
    <a:accent2>
      <a:srgbClr val="3698CC"/>
    </a:accent2>
    <a:accent3>
      <a:srgbClr val="EE953A"/>
    </a:accent3>
    <a:accent4>
      <a:srgbClr val="82C55D"/>
    </a:accent4>
    <a:accent5>
      <a:srgbClr val="3E5564"/>
    </a:accent5>
    <a:accent6>
      <a:srgbClr val="BCBEC0"/>
    </a:accent6>
    <a:hlink>
      <a:srgbClr val="3698CC"/>
    </a:hlink>
    <a:folHlink>
      <a:srgbClr val="EE953A"/>
    </a:folHlink>
  </a:clrScheme>
  <a:fontScheme name="CCIWA">
    <a:majorFont>
      <a:latin typeface="Open Sans Condensed"/>
      <a:ea typeface=""/>
      <a:cs typeface=""/>
    </a:majorFont>
    <a:minorFont>
      <a:latin typeface="Open Sans Light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Custom 2">
    <a:dk1>
      <a:srgbClr val="11274B"/>
    </a:dk1>
    <a:lt1>
      <a:srgbClr val="FFFFFF"/>
    </a:lt1>
    <a:dk2>
      <a:srgbClr val="3E5564"/>
    </a:dk2>
    <a:lt2>
      <a:srgbClr val="F1F2F2"/>
    </a:lt2>
    <a:accent1>
      <a:srgbClr val="11274B"/>
    </a:accent1>
    <a:accent2>
      <a:srgbClr val="3698CC"/>
    </a:accent2>
    <a:accent3>
      <a:srgbClr val="EE953A"/>
    </a:accent3>
    <a:accent4>
      <a:srgbClr val="82C55D"/>
    </a:accent4>
    <a:accent5>
      <a:srgbClr val="3E5564"/>
    </a:accent5>
    <a:accent6>
      <a:srgbClr val="BCBEC0"/>
    </a:accent6>
    <a:hlink>
      <a:srgbClr val="3698CC"/>
    </a:hlink>
    <a:folHlink>
      <a:srgbClr val="EE953A"/>
    </a:folHlink>
  </a:clrScheme>
  <a:fontScheme name="CCIWA">
    <a:majorFont>
      <a:latin typeface="Open Sans Condensed"/>
      <a:ea typeface=""/>
      <a:cs typeface=""/>
    </a:majorFont>
    <a:minorFont>
      <a:latin typeface="Open Sans Light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C8642AB63944B855590F1D3AC069A" ma:contentTypeVersion="14" ma:contentTypeDescription="Create a new document." ma:contentTypeScope="" ma:versionID="ce27be3ba912c6d52b653fbde9ec53a9">
  <xsd:schema xmlns:xsd="http://www.w3.org/2001/XMLSchema" xmlns:xs="http://www.w3.org/2001/XMLSchema" xmlns:p="http://schemas.microsoft.com/office/2006/metadata/properties" xmlns:ns1="http://schemas.microsoft.com/sharepoint/v3" xmlns:ns2="fce5c7bb-3d33-4f05-994d-2ae78b33d5af" xmlns:ns3="9d764958-d8c5-4d19-b048-2ddd2e0ad242" targetNamespace="http://schemas.microsoft.com/office/2006/metadata/properties" ma:root="true" ma:fieldsID="224189c8295bd6eca6bcf4b5461b6893" ns1:_="" ns2:_="" ns3:_="">
    <xsd:import namespace="http://schemas.microsoft.com/sharepoint/v3"/>
    <xsd:import namespace="fce5c7bb-3d33-4f05-994d-2ae78b33d5af"/>
    <xsd:import namespace="9d764958-d8c5-4d19-b048-2ddd2e0ad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5c7bb-3d33-4f05-994d-2ae78b33d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64958-d8c5-4d19-b048-2ddd2e0ad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764958-d8c5-4d19-b048-2ddd2e0ad242">
      <UserInfo>
        <DisplayName>Aaron Morey</DisplayName>
        <AccountId>41628</AccountId>
        <AccountType/>
      </UserInfo>
      <UserInfo>
        <DisplayName>Paul Moss</DisplayName>
        <AccountId>40985</AccountId>
        <AccountType/>
      </UserInfo>
      <UserInfo>
        <DisplayName>Thomas Adolph</DisplayName>
        <AccountId>41443</AccountId>
        <AccountType/>
      </UserInfo>
      <UserInfo>
        <DisplayName>Millie Muroi</DisplayName>
        <AccountId>44209</AccountId>
        <AccountType/>
      </UserInfo>
      <UserInfo>
        <DisplayName>Sam Collins</DisplayName>
        <AccountId>45998</AccountId>
        <AccountType/>
      </UserInfo>
      <UserInfo>
        <DisplayName>James Walsh</DisplayName>
        <AccountId>3473</AccountId>
        <AccountType/>
      </UserInfo>
      <UserInfo>
        <DisplayName>Chris Rodwell</DisplayName>
        <AccountId>4541</AccountId>
        <AccountType/>
      </UserInfo>
      <UserInfo>
        <DisplayName>Jen Wan-Ward</DisplayName>
        <AccountId>46715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944A22-21F2-4350-8CC8-AC7345A00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e5c7bb-3d33-4f05-994d-2ae78b33d5af"/>
    <ds:schemaRef ds:uri="9d764958-d8c5-4d19-b048-2ddd2e0ad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DA09E-BC5B-455B-86F9-964317CB70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79A5AF-11F3-498F-9442-3BB1AAC0F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5134B-B3D0-4718-B59A-F44300602061}">
  <ds:schemaRefs>
    <ds:schemaRef ds:uri="9d764958-d8c5-4d19-b048-2ddd2e0ad24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fce5c7bb-3d33-4f05-994d-2ae78b33d5af"/>
    <ds:schemaRef ds:uri="http://schemas.microsoft.com/sharepoint/v3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1063</Words>
  <Characters>6061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Walsh</dc:creator>
  <cp:keywords/>
  <dc:description/>
  <cp:lastModifiedBy>Thomas Adolph</cp:lastModifiedBy>
  <cp:revision>2</cp:revision>
  <cp:lastPrinted>2021-05-02T01:09:00Z</cp:lastPrinted>
  <dcterms:created xsi:type="dcterms:W3CDTF">2022-11-18T22:16:00Z</dcterms:created>
  <dcterms:modified xsi:type="dcterms:W3CDTF">2022-11-18T22:16:00Z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0x010100551C8642AB63944B855590F1D3AC069A</vt:lpwstr>
  </property>
</Properties>
</file>